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3C2209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2209" w:rsidRPr="00B91378" w:rsidRDefault="003C2209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 2</w:t>
            </w:r>
          </w:p>
          <w:p w:rsidR="003C2209" w:rsidRPr="00B91378" w:rsidRDefault="003C2209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3C2209" w:rsidRPr="00B91378" w:rsidRDefault="003C2209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3C2209" w:rsidRPr="00ED5991" w:rsidRDefault="003C2209" w:rsidP="00B918C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B918CC">
              <w:rPr>
                <w:color w:val="000000"/>
                <w:sz w:val="24"/>
                <w:szCs w:val="24"/>
              </w:rPr>
              <w:t>05.10.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B918CC">
              <w:rPr>
                <w:sz w:val="24"/>
                <w:szCs w:val="24"/>
              </w:rPr>
              <w:t>640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3C2209" w:rsidRPr="00ED5991" w:rsidRDefault="003C2209" w:rsidP="003C2209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3C2209" w:rsidRPr="00EC6E74" w:rsidRDefault="003C2209" w:rsidP="003C2209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3C2209" w:rsidRPr="00EC6E74" w:rsidRDefault="003C2209" w:rsidP="003C2209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3C2209" w:rsidRDefault="003C2209" w:rsidP="003C2209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B0EB5">
        <w:rPr>
          <w:rFonts w:ascii="Times New Roman" w:hAnsi="Times New Roman"/>
          <w:sz w:val="24"/>
          <w:szCs w:val="24"/>
        </w:rPr>
        <w:t xml:space="preserve">головного спеціаліста відділу </w:t>
      </w:r>
      <w:proofErr w:type="spellStart"/>
      <w:r w:rsidRPr="00555670"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5670">
        <w:rPr>
          <w:rFonts w:ascii="Times New Roman" w:hAnsi="Times New Roman"/>
          <w:sz w:val="24"/>
          <w:szCs w:val="24"/>
        </w:rPr>
        <w:t>Адміністративного департаменту</w:t>
      </w:r>
    </w:p>
    <w:p w:rsidR="003C2209" w:rsidRPr="00616A81" w:rsidRDefault="003C2209" w:rsidP="003C2209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14"/>
        <w:gridCol w:w="6306"/>
      </w:tblGrid>
      <w:tr w:rsidR="003C2209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3C2209" w:rsidRPr="00ED5991" w:rsidRDefault="003C2209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2" w:type="pct"/>
            <w:shd w:val="clear" w:color="auto" w:fill="auto"/>
          </w:tcPr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6B15">
              <w:rPr>
                <w:color w:val="000000"/>
                <w:sz w:val="24"/>
                <w:szCs w:val="24"/>
              </w:rPr>
              <w:t xml:space="preserve">роводить закупівлі за бюджетні кошти НСЗУ протягом бюджетного року згідно із затвердженим кошторисом, планом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, лімітами та пріоритетністю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України “Про публічні закупівлі”, а також закупівл</w:t>
            </w:r>
            <w:r w:rsidR="006F40C7">
              <w:rPr>
                <w:color w:val="000000"/>
                <w:sz w:val="24"/>
                <w:szCs w:val="24"/>
              </w:rPr>
              <w:t>і</w:t>
            </w:r>
            <w:r w:rsidRPr="00E86B15">
              <w:rPr>
                <w:color w:val="000000"/>
                <w:sz w:val="24"/>
                <w:szCs w:val="24"/>
              </w:rPr>
              <w:t xml:space="preserve"> товарів, робіт та послуг без застосування процедур, передбачених  Законом У</w:t>
            </w:r>
            <w:r>
              <w:rPr>
                <w:color w:val="000000"/>
                <w:sz w:val="24"/>
                <w:szCs w:val="24"/>
              </w:rPr>
              <w:t>країни “Про публічні закупівлі”;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86B15">
              <w:rPr>
                <w:color w:val="000000"/>
                <w:sz w:val="24"/>
                <w:szCs w:val="24"/>
              </w:rPr>
              <w:t xml:space="preserve">отримується вимог чинного законодавства України, а також надає пропозиції щодо вдосконалення законодавства з питань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товарів, робіт, послуг за бюджетні кошти, забезпечення ефективного та раціонального використання бюджетних коштів, максимальної їх економії при здійсненні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та забезпечує відкритість та прозорість на в</w:t>
            </w:r>
            <w:r>
              <w:rPr>
                <w:color w:val="000000"/>
                <w:sz w:val="24"/>
                <w:szCs w:val="24"/>
              </w:rPr>
              <w:t xml:space="preserve">сіх стадіях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апобігає вчиненню дискримінаційних дій до учасників процедур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 процесі організації та при здійсненні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</w:t>
            </w:r>
            <w:bookmarkStart w:id="0" w:name="_Hlk17311355"/>
            <w:r w:rsidRPr="00E86B15">
              <w:rPr>
                <w:color w:val="000000"/>
                <w:sz w:val="24"/>
                <w:szCs w:val="24"/>
              </w:rPr>
              <w:t>України “Про публічні закупівлі”</w:t>
            </w:r>
            <w:bookmarkEnd w:id="0"/>
            <w:r w:rsidRPr="00E86B15">
              <w:rPr>
                <w:color w:val="000000"/>
                <w:sz w:val="24"/>
                <w:szCs w:val="24"/>
              </w:rPr>
              <w:t xml:space="preserve"> та вживає заходів щодо запобігання проявам корупції та зловживань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розробці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є</w:t>
            </w:r>
            <w:r w:rsidRPr="00E86B15">
              <w:rPr>
                <w:color w:val="000000"/>
                <w:sz w:val="24"/>
                <w:szCs w:val="24"/>
              </w:rPr>
              <w:t>кту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положення про тендерний комітет, підтримці його в актуальному стані та внесенні до нього змін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дійснює роботу щодо своєчасного складання та затвердження в установленому порядку річного плану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та додатку до нього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розробленні, затвердженні, зберіганні та супроводі відповідних документів з питань публічних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визначених Законом України “Про публічні закупівлі”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>ере участь у розгляді відповідно до чинного законодавства тендерних пропозицій, що надійшли ві</w:t>
            </w:r>
            <w:r>
              <w:rPr>
                <w:color w:val="000000"/>
                <w:sz w:val="24"/>
                <w:szCs w:val="24"/>
              </w:rPr>
              <w:t xml:space="preserve">д учасників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6B15">
              <w:rPr>
                <w:color w:val="000000"/>
                <w:sz w:val="24"/>
                <w:szCs w:val="24"/>
              </w:rPr>
              <w:t xml:space="preserve">адає роз’яснення особам, що виявили намір взяти участь у процедурі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щодо змісту тендерної документації у раз</w:t>
            </w:r>
            <w:r>
              <w:rPr>
                <w:color w:val="000000"/>
                <w:sz w:val="24"/>
                <w:szCs w:val="24"/>
              </w:rPr>
              <w:t>і отримання відповідних запитів;</w:t>
            </w:r>
          </w:p>
          <w:p w:rsidR="003C2209" w:rsidRPr="00E86B15" w:rsidRDefault="003C2209" w:rsidP="004C1FE1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6B15">
              <w:rPr>
                <w:color w:val="000000"/>
                <w:sz w:val="24"/>
                <w:szCs w:val="24"/>
              </w:rPr>
              <w:t xml:space="preserve">прияє органам, що здійснюють державне регулювання та контроль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, у виконанні ними своїх повноважень відповідно до чинного законодавства, зокрема створює належні умови для проведення </w:t>
            </w:r>
            <w:r w:rsidRPr="00E86B15">
              <w:rPr>
                <w:color w:val="000000"/>
                <w:sz w:val="24"/>
                <w:szCs w:val="24"/>
              </w:rPr>
              <w:lastRenderedPageBreak/>
              <w:t>перевірок, надає у встановлений строк необхідні документи і відповідні пояснення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C2209" w:rsidRPr="003C2209" w:rsidRDefault="003C2209" w:rsidP="003C2209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86B15">
              <w:rPr>
                <w:color w:val="000000"/>
                <w:sz w:val="24"/>
                <w:szCs w:val="24"/>
              </w:rPr>
              <w:t>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</w:t>
            </w:r>
            <w:r>
              <w:rPr>
                <w:color w:val="000000"/>
                <w:sz w:val="24"/>
                <w:szCs w:val="24"/>
              </w:rPr>
              <w:t>язків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62" w:type="pct"/>
          </w:tcPr>
          <w:p w:rsidR="003C2209" w:rsidRPr="00D91231" w:rsidRDefault="003C2209" w:rsidP="004C1FE1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3C2209" w:rsidRDefault="003C2209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3C2209" w:rsidRPr="00FD11AB" w:rsidRDefault="003C2209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2" w:type="pct"/>
          </w:tcPr>
          <w:p w:rsidR="003C2209" w:rsidRDefault="003C2209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3C2209" w:rsidRDefault="003C2209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3C2209" w:rsidRPr="00ED5991" w:rsidRDefault="003C2209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3C220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2" w:type="pct"/>
          </w:tcPr>
          <w:p w:rsidR="003C2209" w:rsidRPr="00416ED7" w:rsidRDefault="003C2209" w:rsidP="003C2209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C2209" w:rsidRPr="00416ED7" w:rsidRDefault="003C2209" w:rsidP="003C2209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3C2209" w:rsidRPr="00416ED7" w:rsidRDefault="003C2209" w:rsidP="003C2209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3C2209" w:rsidRPr="00416ED7" w:rsidRDefault="003C2209" w:rsidP="003C2209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3C2209" w:rsidRPr="00416ED7" w:rsidRDefault="003C2209" w:rsidP="003C2209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3C2209" w:rsidRPr="00416ED7" w:rsidRDefault="003C2209" w:rsidP="003C2209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C2209" w:rsidRDefault="003C2209" w:rsidP="003C2209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3C2209" w:rsidRDefault="003C2209" w:rsidP="003C2209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3C2209" w:rsidRPr="00281173" w:rsidRDefault="003C2209" w:rsidP="003C2209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C2209" w:rsidRPr="00D3154A" w:rsidRDefault="003C2209" w:rsidP="003C2209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lastRenderedPageBreak/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3C2209" w:rsidRPr="00FB2759" w:rsidRDefault="003C2209" w:rsidP="003C2209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3C2209" w:rsidRPr="00D3154A" w:rsidRDefault="003C2209" w:rsidP="00B918CC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</w:t>
            </w:r>
            <w:r>
              <w:t>7 </w:t>
            </w:r>
            <w:r w:rsidRPr="00685A94">
              <w:t xml:space="preserve">год </w:t>
            </w:r>
            <w:r>
              <w:t>00 </w:t>
            </w:r>
            <w:r w:rsidRPr="00685A94">
              <w:t xml:space="preserve">хв </w:t>
            </w:r>
            <w:r w:rsidR="00B918CC" w:rsidRPr="00B918CC">
              <w:t>18 </w:t>
            </w:r>
            <w:r w:rsidRPr="00B918CC">
              <w:t>жовтня</w:t>
            </w:r>
            <w:r w:rsidRPr="00685A94">
              <w:t xml:space="preserve">                     2021 року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2" w:type="pct"/>
          </w:tcPr>
          <w:p w:rsidR="003C2209" w:rsidRPr="00ED5991" w:rsidRDefault="003C2209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C2209" w:rsidRDefault="003C2209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2" w:type="pct"/>
          </w:tcPr>
          <w:p w:rsidR="003C2209" w:rsidRPr="00D3154A" w:rsidRDefault="00B918CC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18CC">
              <w:rPr>
                <w:sz w:val="24"/>
                <w:szCs w:val="24"/>
              </w:rPr>
              <w:t>20</w:t>
            </w:r>
            <w:r w:rsidR="003C2209" w:rsidRPr="00B918CC">
              <w:rPr>
                <w:sz w:val="24"/>
                <w:szCs w:val="24"/>
              </w:rPr>
              <w:t xml:space="preserve"> жовтня</w:t>
            </w:r>
            <w:r w:rsidR="003C2209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3C2209" w:rsidRDefault="003C2209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3C2209" w:rsidRPr="00D3154A" w:rsidRDefault="003C2209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C2209" w:rsidRPr="00CD6C39" w:rsidRDefault="003C2209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3C2209" w:rsidRDefault="003C2209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C2209" w:rsidRDefault="003C2209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C2209" w:rsidRDefault="003C2209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C2209" w:rsidRPr="00D3154A" w:rsidRDefault="003C2209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3C2209" w:rsidRPr="00D3154A" w:rsidRDefault="003C2209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3C2209" w:rsidRPr="00D3154A" w:rsidRDefault="003C2209" w:rsidP="004C1FE1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3C2209" w:rsidRPr="00ED5991" w:rsidTr="003C2209">
        <w:trPr>
          <w:trHeight w:val="1609"/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2" w:type="pct"/>
          </w:tcPr>
          <w:p w:rsidR="003C2209" w:rsidRPr="00DA0AC7" w:rsidRDefault="003C2209" w:rsidP="004C1FE1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209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3C2209" w:rsidRPr="00DA0AC7" w:rsidRDefault="003C2209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2" w:type="pct"/>
          </w:tcPr>
          <w:p w:rsidR="003C2209" w:rsidRPr="00DA0AC7" w:rsidRDefault="003C2209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</w:t>
            </w:r>
            <w:r w:rsidRPr="00E17B68">
              <w:rPr>
                <w:color w:val="000000"/>
                <w:sz w:val="24"/>
                <w:szCs w:val="24"/>
              </w:rPr>
              <w:lastRenderedPageBreak/>
              <w:t xml:space="preserve">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5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2" w:type="pct"/>
          </w:tcPr>
          <w:p w:rsidR="003C2209" w:rsidRPr="00DA0AC7" w:rsidRDefault="003C2209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2" w:type="pct"/>
          </w:tcPr>
          <w:p w:rsidR="003C2209" w:rsidRDefault="003C2209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3C2209" w:rsidRPr="00DA0AC7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2" w:type="pct"/>
          </w:tcPr>
          <w:p w:rsidR="003C2209" w:rsidRDefault="003C2209" w:rsidP="004C1F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3C2209" w:rsidRPr="00DA0AC7" w:rsidRDefault="003C2209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3C2209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3C2209" w:rsidRPr="007A6CCE" w:rsidRDefault="003C2209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:rsidR="003C2209" w:rsidRPr="007A6CCE" w:rsidRDefault="003C2209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C2209" w:rsidRPr="00ED5991" w:rsidTr="003C2209">
        <w:trPr>
          <w:trHeight w:val="1901"/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3C2209" w:rsidRDefault="003C2209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3C2209" w:rsidRPr="007A6CCE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C2209" w:rsidRPr="00ED5991" w:rsidTr="003C2209">
        <w:trPr>
          <w:trHeight w:val="1898"/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Pr="007A6CCE" w:rsidRDefault="003C2209" w:rsidP="004C03B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7A6CCE" w:rsidRDefault="003C2209" w:rsidP="004C03B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7A6CCE" w:rsidRDefault="003C2209" w:rsidP="004C03B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3C2209" w:rsidRPr="00ED5991" w:rsidTr="003C2209">
        <w:trPr>
          <w:trHeight w:val="1471"/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Pr="007A6CCE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7A6CCE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7A6CCE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7A6CCE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3C2209" w:rsidRPr="00ED5991" w:rsidTr="003C2209">
        <w:trPr>
          <w:trHeight w:val="1337"/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209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9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3C2209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3C2209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</w:t>
            </w:r>
            <w:bookmarkStart w:id="1" w:name="_GoBack"/>
            <w:bookmarkEnd w:id="1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вно долати перешкоди</w:t>
            </w:r>
          </w:p>
        </w:tc>
      </w:tr>
      <w:tr w:rsidR="003C2209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3C2209" w:rsidRPr="00ED5991" w:rsidRDefault="003C2209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873" w:type="pct"/>
            <w:gridSpan w:val="2"/>
          </w:tcPr>
          <w:p w:rsidR="003C2209" w:rsidRPr="00ED5991" w:rsidRDefault="003C2209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2" w:type="pct"/>
          </w:tcPr>
          <w:p w:rsidR="003C2209" w:rsidRPr="00ED5991" w:rsidRDefault="003C2209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2" w:type="pct"/>
          </w:tcPr>
          <w:p w:rsidR="003C2209" w:rsidRPr="00E42A3F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2209" w:rsidRPr="00ED5991" w:rsidRDefault="003C2209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3C2209" w:rsidRPr="00ED3784" w:rsidRDefault="003C2209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3C2209" w:rsidRPr="00ED5991" w:rsidTr="003C2209">
        <w:trPr>
          <w:trHeight w:val="5073"/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5" w:type="pct"/>
            <w:shd w:val="clear" w:color="auto" w:fill="auto"/>
          </w:tcPr>
          <w:p w:rsidR="003C2209" w:rsidRPr="00ED5991" w:rsidRDefault="003C2209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2" w:type="pct"/>
            <w:shd w:val="clear" w:color="auto" w:fill="auto"/>
          </w:tcPr>
          <w:p w:rsidR="003C2209" w:rsidRPr="009D68D6" w:rsidRDefault="003C2209" w:rsidP="004C1FE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:rsidR="003C2209" w:rsidRPr="009964AA" w:rsidRDefault="003C2209" w:rsidP="004C1FE1">
            <w:pPr>
              <w:pStyle w:val="a4"/>
              <w:numPr>
                <w:ilvl w:val="0"/>
                <w:numId w:val="5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C2209" w:rsidRPr="009964AA" w:rsidRDefault="003C2209" w:rsidP="004C1FE1">
            <w:pPr>
              <w:pStyle w:val="a4"/>
              <w:numPr>
                <w:ilvl w:val="0"/>
                <w:numId w:val="5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27.12.2017                   № 1101 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Про утворення Національної служби здоров’я України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209" w:rsidRPr="009D68D6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відкритість використання публічних коштів”;</w:t>
            </w:r>
          </w:p>
          <w:p w:rsidR="003C2209" w:rsidRPr="009964AA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публічні закупівлі”;</w:t>
            </w:r>
          </w:p>
          <w:p w:rsidR="003C2209" w:rsidRPr="009964AA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захист персональних даних”;</w:t>
            </w:r>
          </w:p>
          <w:p w:rsidR="003C2209" w:rsidRPr="009D68D6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доступ до публічної інформації”;</w:t>
            </w:r>
          </w:p>
          <w:p w:rsidR="003C2209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розвитку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економіки, 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торгівлі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сільського господарства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“Про затвердження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Порядку розміщення інформації про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публічн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закупівл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зареєстрованого в Міністерстві юстиції України 01 липня 2020 р. за № 610/34893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2209" w:rsidRPr="00CE2E62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 від 30.03.2016 № 557 “Про затвердження Примірного положення про тендерний комітет або уповноважену особу (осіб)”; </w:t>
            </w:r>
          </w:p>
          <w:p w:rsidR="003C2209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від 13.04.2016 № 680 “Про затвердження примірної тендерної документації”;</w:t>
            </w:r>
          </w:p>
          <w:p w:rsidR="003C2209" w:rsidRPr="00866B6D" w:rsidRDefault="003C2209" w:rsidP="004C1FE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B6D">
              <w:rPr>
                <w:rFonts w:ascii="Times New Roman" w:hAnsi="Times New Roman"/>
                <w:color w:val="000000"/>
                <w:sz w:val="24"/>
                <w:szCs w:val="24"/>
              </w:rPr>
              <w:t>Наказу Міністерства розвитку економіки, торгівлі та сільського господарства України від 15.04.2020 № 708 “Про затвердження Порядку визначення предмету закупівлі”, зареєстрованого в Міністерстві юстиції України 09 червня 2020 р. за № 500/34783</w:t>
            </w:r>
          </w:p>
        </w:tc>
      </w:tr>
      <w:tr w:rsidR="003C2209" w:rsidRPr="00ED5991" w:rsidTr="003C2209">
        <w:trPr>
          <w:tblCellSpacing w:w="22" w:type="dxa"/>
        </w:trPr>
        <w:tc>
          <w:tcPr>
            <w:tcW w:w="157" w:type="pct"/>
          </w:tcPr>
          <w:p w:rsidR="003C2209" w:rsidRPr="00ED5991" w:rsidRDefault="003C2209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shd w:val="clear" w:color="auto" w:fill="auto"/>
          </w:tcPr>
          <w:p w:rsidR="003C2209" w:rsidRDefault="003C2209" w:rsidP="004C1FE1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організації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</w:t>
            </w:r>
          </w:p>
        </w:tc>
        <w:tc>
          <w:tcPr>
            <w:tcW w:w="3062" w:type="pct"/>
            <w:shd w:val="clear" w:color="auto" w:fill="auto"/>
          </w:tcPr>
          <w:p w:rsidR="003C2209" w:rsidRDefault="003C2209" w:rsidP="003C220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Організація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 НСЗУ протягом бюджетного року згідно із затвердженим кошторисом, планом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лімітами та пріоритетністю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відповідно до Закону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а також процедур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товарів, робіт та послуг без застосування процедур, передбачених Законом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</w:p>
        </w:tc>
      </w:tr>
    </w:tbl>
    <w:p w:rsidR="003C2209" w:rsidRPr="00ED5991" w:rsidRDefault="003C2209" w:rsidP="003C2209">
      <w:pPr>
        <w:spacing w:line="240" w:lineRule="auto"/>
      </w:pPr>
    </w:p>
    <w:p w:rsidR="003C2209" w:rsidRPr="00401739" w:rsidRDefault="003C2209" w:rsidP="003C2209"/>
    <w:p w:rsidR="003C2209" w:rsidRDefault="003C2209" w:rsidP="003C2209"/>
    <w:p w:rsidR="003C2209" w:rsidRDefault="003C2209" w:rsidP="003C2209"/>
    <w:p w:rsidR="003C2209" w:rsidRDefault="003C2209" w:rsidP="003C2209"/>
    <w:p w:rsidR="00D465EF" w:rsidRDefault="00C048E9"/>
    <w:sectPr w:rsidR="00D465EF" w:rsidSect="005F37C4">
      <w:pgSz w:w="11906" w:h="16838"/>
      <w:pgMar w:top="1134" w:right="426" w:bottom="113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09"/>
    <w:rsid w:val="003C2209"/>
    <w:rsid w:val="004C03BE"/>
    <w:rsid w:val="005F37C4"/>
    <w:rsid w:val="00655AC2"/>
    <w:rsid w:val="006F40C7"/>
    <w:rsid w:val="00B725A4"/>
    <w:rsid w:val="00B918CC"/>
    <w:rsid w:val="00C048E9"/>
    <w:rsid w:val="00E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3E81-7187-4FDA-9A2B-3E506DDF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09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C22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3C220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3C2209"/>
  </w:style>
  <w:style w:type="paragraph" w:customStyle="1" w:styleId="rvps14">
    <w:name w:val="rvps14"/>
    <w:basedOn w:val="a"/>
    <w:uiPriority w:val="99"/>
    <w:rsid w:val="003C220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C2209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3C2209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4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40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6651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5</cp:revision>
  <cp:lastPrinted>2021-10-04T11:22:00Z</cp:lastPrinted>
  <dcterms:created xsi:type="dcterms:W3CDTF">2021-10-04T09:19:00Z</dcterms:created>
  <dcterms:modified xsi:type="dcterms:W3CDTF">2021-10-06T12:19:00Z</dcterms:modified>
</cp:coreProperties>
</file>