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EB2F3A" w:rsidRPr="00ED5991" w:rsidTr="009256A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2F3A" w:rsidRPr="008D2996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EC1B49">
              <w:rPr>
                <w:color w:val="000000"/>
                <w:sz w:val="24"/>
                <w:szCs w:val="24"/>
              </w:rPr>
              <w:t>1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EB2F3A" w:rsidRPr="00ED5991" w:rsidRDefault="00EB2F3A" w:rsidP="003233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від</w:t>
            </w:r>
            <w:r w:rsidR="002D19EB">
              <w:rPr>
                <w:color w:val="000000"/>
                <w:sz w:val="24"/>
                <w:szCs w:val="24"/>
              </w:rPr>
              <w:t xml:space="preserve"> 0</w:t>
            </w:r>
            <w:r w:rsidR="0032335C">
              <w:rPr>
                <w:color w:val="000000"/>
                <w:sz w:val="24"/>
                <w:szCs w:val="24"/>
              </w:rPr>
              <w:t>8</w:t>
            </w:r>
            <w:r w:rsidR="000C09E7">
              <w:rPr>
                <w:color w:val="000000"/>
                <w:sz w:val="24"/>
                <w:szCs w:val="24"/>
              </w:rPr>
              <w:t>.1</w:t>
            </w:r>
            <w:r w:rsidR="002D19EB">
              <w:rPr>
                <w:color w:val="000000"/>
                <w:sz w:val="24"/>
                <w:szCs w:val="24"/>
              </w:rPr>
              <w:t>1</w:t>
            </w:r>
            <w:r w:rsidR="000C09E7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>№</w:t>
            </w:r>
            <w:r w:rsidR="0032335C">
              <w:rPr>
                <w:sz w:val="24"/>
                <w:szCs w:val="24"/>
              </w:rPr>
              <w:t xml:space="preserve"> 771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EB2F3A" w:rsidRPr="00ED5991" w:rsidRDefault="00EB2F3A" w:rsidP="00EB2F3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EB2F3A" w:rsidRPr="007833C5" w:rsidRDefault="00EB2F3A" w:rsidP="00E70B3C">
      <w:pPr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EB2F3A" w:rsidRDefault="00EB2F3A" w:rsidP="00E70B3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7833C5">
        <w:rPr>
          <w:rFonts w:ascii="Times New Roman" w:hAnsi="Times New Roman"/>
          <w:sz w:val="24"/>
          <w:szCs w:val="24"/>
        </w:rPr>
        <w:t>“Б” –</w:t>
      </w:r>
    </w:p>
    <w:p w:rsidR="002D19EB" w:rsidRPr="002D19EB" w:rsidRDefault="002D19EB" w:rsidP="00E70B3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заступник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директора департаменту </w:t>
      </w:r>
      <w:r w:rsidR="002E0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начальник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відділу розробки освітніх </w:t>
      </w:r>
      <w:proofErr w:type="spellStart"/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проєктів</w:t>
      </w:r>
      <w:proofErr w:type="spellEnd"/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надавачів медичних послуг Департаменту освітніх та навчальних </w:t>
      </w:r>
      <w:proofErr w:type="spellStart"/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проєктів</w:t>
      </w:r>
      <w:proofErr w:type="spellEnd"/>
      <w:r w:rsidRPr="002D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надавачів медичних послуг</w:t>
      </w:r>
    </w:p>
    <w:p w:rsidR="00BE0602" w:rsidRPr="00FB2759" w:rsidRDefault="00BE0602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444"/>
        <w:gridCol w:w="6376"/>
      </w:tblGrid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B2F3A" w:rsidRPr="00ED5991" w:rsidRDefault="00EB2F3A" w:rsidP="009256A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2D19EB" w:rsidRPr="00ED5991" w:rsidTr="00992A9C">
        <w:trPr>
          <w:trHeight w:val="1043"/>
          <w:tblCellSpacing w:w="22" w:type="dxa"/>
        </w:trPr>
        <w:tc>
          <w:tcPr>
            <w:tcW w:w="1838" w:type="pct"/>
            <w:gridSpan w:val="2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97" w:type="pct"/>
            <w:shd w:val="clear" w:color="auto" w:fill="auto"/>
          </w:tcPr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ормування завдань для вивчення потреб</w:t>
            </w:r>
            <w:r w:rsidRPr="00992A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надавачів медичних послуг (далі –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 xml:space="preserve"> НМП</w:t>
            </w:r>
            <w:r>
              <w:rPr>
                <w:rFonts w:ascii="Times New Roman" w:hAnsi="Times New Roman"/>
                <w:sz w:val="24"/>
                <w:szCs w:val="24"/>
              </w:rPr>
              <w:t>) у темах та форматах навчання;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дійснення планування розробки та запуску навчальних продуктів та інших заходів з навчальною метою відпові</w:t>
            </w:r>
            <w:r>
              <w:rPr>
                <w:rFonts w:ascii="Times New Roman" w:hAnsi="Times New Roman"/>
                <w:sz w:val="24"/>
                <w:szCs w:val="24"/>
              </w:rPr>
              <w:t>дно до плану робіт Департаменту;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ормування стандартів якості навчальних продуктів.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ормування процесу розробки та запуску навчальних продуктів та п</w:t>
            </w:r>
            <w:r>
              <w:rPr>
                <w:rFonts w:ascii="Times New Roman" w:hAnsi="Times New Roman"/>
                <w:sz w:val="24"/>
                <w:szCs w:val="24"/>
              </w:rPr>
              <w:t>ідготовки необхідних документів;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ормування процесу розробки навчальних продуктів, встановлення терміні</w:t>
            </w:r>
            <w:r>
              <w:rPr>
                <w:rFonts w:ascii="Times New Roman" w:hAnsi="Times New Roman"/>
                <w:sz w:val="24"/>
                <w:szCs w:val="24"/>
              </w:rPr>
              <w:t>в та контроль за їх дотриманням;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ормування критеріїв аналізу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ів запуску навчальних продуктів;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 xml:space="preserve">ормування планів заходів для удосконалення процесу запуску навчальних продуктів </w:t>
            </w:r>
            <w:r>
              <w:rPr>
                <w:rFonts w:ascii="Times New Roman" w:hAnsi="Times New Roman"/>
                <w:sz w:val="24"/>
                <w:szCs w:val="24"/>
              </w:rPr>
              <w:t>на підставі результатів аналізу;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 xml:space="preserve">ідготовка пропозицій щодо пошуку обсягу матеріальної допомоги та необхідних ресурсів для створення </w:t>
            </w:r>
            <w:r>
              <w:rPr>
                <w:rFonts w:ascii="Times New Roman" w:hAnsi="Times New Roman"/>
                <w:sz w:val="24"/>
                <w:szCs w:val="24"/>
              </w:rPr>
              <w:t>та запуску навчальних продуктів;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 xml:space="preserve">ніціювання залучення носіїв знань із підрозділів НСЗУ до участі в розробці навчальних продуктів </w:t>
            </w:r>
            <w:r w:rsidR="002D19EB" w:rsidRPr="007B0805">
              <w:rPr>
                <w:rFonts w:ascii="Times New Roman" w:hAnsi="Times New Roman"/>
                <w:sz w:val="24"/>
                <w:szCs w:val="24"/>
              </w:rPr>
              <w:t>відповідно до політики збереження та управління знаннями, яку формує Департамент управлін</w:t>
            </w:r>
            <w:r w:rsidRPr="007B0805">
              <w:rPr>
                <w:rFonts w:ascii="Times New Roman" w:hAnsi="Times New Roman"/>
                <w:sz w:val="24"/>
                <w:szCs w:val="24"/>
              </w:rPr>
              <w:t>ня персоналом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озроблення правил та стандартів взаємодії  із зовнішніми носіями знань в частин</w:t>
            </w:r>
            <w:r>
              <w:rPr>
                <w:rFonts w:ascii="Times New Roman" w:hAnsi="Times New Roman"/>
                <w:sz w:val="24"/>
                <w:szCs w:val="24"/>
              </w:rPr>
              <w:t>і розробки навчальних продуктів;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ормування правил та стандартів взаємодії зі структурними підрозділами НСЗУ та з носіями знань при роботі над створенням т</w:t>
            </w:r>
            <w:r>
              <w:rPr>
                <w:rFonts w:ascii="Times New Roman" w:hAnsi="Times New Roman"/>
                <w:sz w:val="24"/>
                <w:szCs w:val="24"/>
              </w:rPr>
              <w:t>а запуском навчальних продуктів;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 xml:space="preserve">ормування критеріїв оцінки навчальних продуктів відповідно до стандартів </w:t>
            </w:r>
            <w:r>
              <w:rPr>
                <w:rFonts w:ascii="Times New Roman" w:hAnsi="Times New Roman"/>
                <w:sz w:val="24"/>
                <w:szCs w:val="24"/>
              </w:rPr>
              <w:t>якості та готовності до запуску;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озробка технічного завдання для пошуку електронних засобів управління знаннями, які відповідають потребам форма</w:t>
            </w:r>
            <w:r>
              <w:rPr>
                <w:rFonts w:ascii="Times New Roman" w:hAnsi="Times New Roman"/>
                <w:sz w:val="24"/>
                <w:szCs w:val="24"/>
              </w:rPr>
              <w:t>ту викладу навчального контенту;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ормування планів заходів відповідно до результатів аналізу форм зворотного зв’язку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оцінки навчальних продуктів;</w:t>
            </w:r>
          </w:p>
          <w:p w:rsidR="002D19EB" w:rsidRPr="002D19EB" w:rsidRDefault="00992A9C" w:rsidP="00C75209">
            <w:pPr>
              <w:pStyle w:val="a4"/>
              <w:numPr>
                <w:ilvl w:val="0"/>
                <w:numId w:val="7"/>
              </w:numPr>
              <w:spacing w:line="264" w:lineRule="auto"/>
              <w:ind w:left="344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D19EB" w:rsidRPr="002D19EB">
              <w:rPr>
                <w:rFonts w:ascii="Times New Roman" w:hAnsi="Times New Roman"/>
                <w:sz w:val="24"/>
                <w:szCs w:val="24"/>
              </w:rPr>
              <w:t>часть у заходах з навчання та підвищення кваліфікації представників НМП у сфері реалізації державних фінансових гарантій мед</w:t>
            </w:r>
            <w:r>
              <w:rPr>
                <w:rFonts w:ascii="Times New Roman" w:hAnsi="Times New Roman"/>
                <w:sz w:val="24"/>
                <w:szCs w:val="24"/>
              </w:rPr>
              <w:t>ичного обслуговування населення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97" w:type="pct"/>
          </w:tcPr>
          <w:p w:rsidR="002D19EB" w:rsidRPr="00F5182D" w:rsidRDefault="002D19EB" w:rsidP="00C75209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 w:line="264" w:lineRule="auto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32335C">
              <w:rPr>
                <w:color w:val="000000" w:themeColor="text1"/>
              </w:rPr>
              <w:t>1</w:t>
            </w:r>
            <w:r w:rsidR="00133DF7" w:rsidRPr="0032335C">
              <w:rPr>
                <w:color w:val="000000" w:themeColor="text1"/>
              </w:rPr>
              <w:t>2</w:t>
            </w:r>
            <w:r w:rsidRPr="0032335C">
              <w:rPr>
                <w:color w:val="000000" w:themeColor="text1"/>
              </w:rPr>
              <w:t> </w:t>
            </w:r>
            <w:r w:rsidR="00133DF7" w:rsidRPr="0032335C">
              <w:rPr>
                <w:color w:val="000000" w:themeColor="text1"/>
              </w:rPr>
              <w:t>8</w:t>
            </w:r>
            <w:r w:rsidRPr="0032335C">
              <w:rPr>
                <w:color w:val="000000" w:themeColor="text1"/>
              </w:rPr>
              <w:t>00 грн</w:t>
            </w:r>
            <w:r w:rsidRPr="00F5182D">
              <w:rPr>
                <w:color w:val="000000" w:themeColor="text1"/>
              </w:rPr>
              <w:t>;</w:t>
            </w:r>
          </w:p>
          <w:p w:rsidR="002D19EB" w:rsidRDefault="002D19EB" w:rsidP="00C75209">
            <w:pPr>
              <w:numPr>
                <w:ilvl w:val="0"/>
                <w:numId w:val="1"/>
              </w:numPr>
              <w:spacing w:line="264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2D19EB" w:rsidRPr="00FD11AB" w:rsidRDefault="002D19EB" w:rsidP="00C75209">
            <w:pPr>
              <w:numPr>
                <w:ilvl w:val="0"/>
                <w:numId w:val="1"/>
              </w:numPr>
              <w:spacing w:line="264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Pr="00ED5991" w:rsidRDefault="002D19EB" w:rsidP="002D19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97" w:type="pct"/>
          </w:tcPr>
          <w:p w:rsidR="002D19EB" w:rsidRDefault="002D19EB" w:rsidP="00C75209">
            <w:pPr>
              <w:spacing w:line="264" w:lineRule="auto"/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2D19EB" w:rsidRPr="00ED5915" w:rsidRDefault="002D19EB" w:rsidP="00C75209">
            <w:pPr>
              <w:spacing w:line="264" w:lineRule="auto"/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2D19EB" w:rsidRPr="00ED5991" w:rsidRDefault="002D19EB" w:rsidP="00C75209">
            <w:pPr>
              <w:pStyle w:val="rvps14"/>
              <w:spacing w:before="0" w:beforeAutospacing="0" w:after="0" w:afterAutospacing="0" w:line="264" w:lineRule="auto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Pr="00ED5991" w:rsidRDefault="002D19EB" w:rsidP="002D19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97" w:type="pct"/>
          </w:tcPr>
          <w:p w:rsidR="002D19EB" w:rsidRPr="00416ED7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D19EB" w:rsidRPr="00416ED7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від 25 березня 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2D19EB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2D19EB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2D19EB" w:rsidRPr="00281173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визначений Національною комісією зі стандартів державної мови.</w:t>
            </w:r>
          </w:p>
          <w:p w:rsidR="002D19EB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9EB" w:rsidRPr="00D3154A" w:rsidRDefault="002D19EB" w:rsidP="00C75209">
            <w:pPr>
              <w:pStyle w:val="rvps14"/>
              <w:spacing w:before="0" w:beforeAutospacing="0" w:after="0" w:afterAutospacing="0" w:line="264" w:lineRule="auto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2D19EB" w:rsidRPr="00FB2759" w:rsidRDefault="002D19EB" w:rsidP="00C75209">
            <w:pPr>
              <w:spacing w:line="264" w:lineRule="auto"/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2D19EB" w:rsidRPr="00D3154A" w:rsidRDefault="002D19EB" w:rsidP="0032335C">
            <w:pPr>
              <w:pStyle w:val="rvps14"/>
              <w:spacing w:before="0" w:beforeAutospacing="0" w:after="0" w:afterAutospacing="0" w:line="264" w:lineRule="auto"/>
              <w:ind w:left="180"/>
              <w:jc w:val="both"/>
            </w:pPr>
            <w:r w:rsidRPr="00685A94">
              <w:t xml:space="preserve">Інформація приймається до </w:t>
            </w:r>
            <w:r w:rsidRPr="0032335C">
              <w:t>17 год 00 х</w:t>
            </w:r>
            <w:bookmarkStart w:id="0" w:name="_GoBack"/>
            <w:bookmarkEnd w:id="0"/>
            <w:r w:rsidRPr="0032335C">
              <w:t xml:space="preserve">в </w:t>
            </w:r>
            <w:r w:rsidR="0032335C" w:rsidRPr="0032335C">
              <w:t>15</w:t>
            </w:r>
            <w:r w:rsidRPr="006C04DB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97" w:type="pct"/>
          </w:tcPr>
          <w:p w:rsidR="002D19EB" w:rsidRPr="00D3154A" w:rsidRDefault="002D19EB" w:rsidP="002D19EB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041BC" w:rsidRDefault="000041BC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19EB" w:rsidRPr="00ED5991" w:rsidRDefault="002D19EB" w:rsidP="0066579A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97" w:type="pct"/>
          </w:tcPr>
          <w:p w:rsidR="002D19EB" w:rsidRPr="00D3154A" w:rsidRDefault="0032335C" w:rsidP="00665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D19EB" w:rsidRPr="00E70B3C">
              <w:rPr>
                <w:sz w:val="24"/>
                <w:szCs w:val="24"/>
              </w:rPr>
              <w:t xml:space="preserve"> листопада 2021 року о 10 год 00 хв.</w:t>
            </w:r>
          </w:p>
          <w:p w:rsidR="000041BC" w:rsidRDefault="000041BC" w:rsidP="0066579A">
            <w:pPr>
              <w:jc w:val="both"/>
              <w:rPr>
                <w:sz w:val="24"/>
                <w:szCs w:val="24"/>
              </w:rPr>
            </w:pPr>
          </w:p>
          <w:p w:rsidR="002D19EB" w:rsidRDefault="002D19EB" w:rsidP="0066579A">
            <w:pPr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2D19EB" w:rsidRPr="00D3154A" w:rsidRDefault="002D19EB" w:rsidP="0066579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2D19EB" w:rsidRPr="00D3154A" w:rsidRDefault="002D19EB" w:rsidP="0066579A">
            <w:pPr>
              <w:jc w:val="both"/>
              <w:rPr>
                <w:sz w:val="24"/>
                <w:szCs w:val="24"/>
              </w:rPr>
            </w:pPr>
          </w:p>
          <w:p w:rsidR="002D19EB" w:rsidRDefault="002D19EB" w:rsidP="006657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19EB" w:rsidRPr="00D3154A" w:rsidRDefault="002D19EB" w:rsidP="006657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19EB" w:rsidRPr="00D3154A" w:rsidRDefault="002D19EB" w:rsidP="0066579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2D19EB" w:rsidRPr="00D3154A" w:rsidRDefault="002D19EB" w:rsidP="0066579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2D19EB" w:rsidRPr="00D3154A" w:rsidRDefault="002D19EB" w:rsidP="0066579A">
            <w:pPr>
              <w:tabs>
                <w:tab w:val="left" w:pos="785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pct"/>
          </w:tcPr>
          <w:p w:rsidR="002D19EB" w:rsidRPr="00F679DA" w:rsidRDefault="002D19EB" w:rsidP="002D19EB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2D19EB" w:rsidRPr="00ED5991" w:rsidRDefault="002D19EB" w:rsidP="002D19EB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D19EB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2D19EB" w:rsidRPr="00DA0AC7" w:rsidRDefault="002D19EB" w:rsidP="002D19EB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97" w:type="pct"/>
          </w:tcPr>
          <w:p w:rsidR="002D19EB" w:rsidRPr="00DA0AC7" w:rsidRDefault="002D19EB" w:rsidP="00665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та перехідні положення” Закону України “Про вищу освіту” 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60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97" w:type="pct"/>
          </w:tcPr>
          <w:p w:rsidR="002D19EB" w:rsidRPr="00DA0AC7" w:rsidRDefault="002D19EB" w:rsidP="002D1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97" w:type="pct"/>
          </w:tcPr>
          <w:p w:rsidR="002D19EB" w:rsidRPr="00DA0AC7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97" w:type="pct"/>
          </w:tcPr>
          <w:p w:rsidR="002D19EB" w:rsidRPr="00DA0AC7" w:rsidRDefault="002D19EB" w:rsidP="002D19EB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2D19EB" w:rsidRPr="00ED5991" w:rsidTr="009256A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2D19EB" w:rsidRPr="00776ABE" w:rsidRDefault="002D19EB" w:rsidP="002D19EB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Pr="00ED5991" w:rsidRDefault="002D19EB" w:rsidP="002D19E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7" w:type="pct"/>
          </w:tcPr>
          <w:p w:rsidR="002D19EB" w:rsidRPr="00776ABE" w:rsidRDefault="002D19EB" w:rsidP="002D19E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EB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2D19EB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2D19EB" w:rsidRPr="00ED5991" w:rsidRDefault="002D19EB" w:rsidP="002D19EB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838" w:type="pct"/>
            <w:gridSpan w:val="2"/>
          </w:tcPr>
          <w:p w:rsidR="002D19EB" w:rsidRPr="00ED5991" w:rsidRDefault="002D19EB" w:rsidP="002D19EB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7" w:type="pct"/>
          </w:tcPr>
          <w:p w:rsidR="002D19EB" w:rsidRPr="00ED5991" w:rsidRDefault="002D19EB" w:rsidP="002D19EB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19EB" w:rsidRPr="00ED5991" w:rsidTr="00992A9C">
        <w:trPr>
          <w:trHeight w:val="1339"/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97" w:type="pct"/>
          </w:tcPr>
          <w:p w:rsidR="002D19EB" w:rsidRPr="00E42A3F" w:rsidRDefault="002D19EB" w:rsidP="002D19EB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2D19EB" w:rsidRPr="00ED5991" w:rsidRDefault="002D19EB" w:rsidP="002D19E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19EB" w:rsidRPr="00ED5991" w:rsidRDefault="002D19EB" w:rsidP="002D19E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2D19EB" w:rsidRPr="00ED3784" w:rsidRDefault="002D19EB" w:rsidP="002D19EB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2D19EB" w:rsidRPr="00ED5991" w:rsidTr="00992A9C">
        <w:trPr>
          <w:tblCellSpacing w:w="22" w:type="dxa"/>
        </w:trPr>
        <w:tc>
          <w:tcPr>
            <w:tcW w:w="157" w:type="pct"/>
          </w:tcPr>
          <w:p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shd w:val="clear" w:color="auto" w:fill="auto"/>
          </w:tcPr>
          <w:p w:rsidR="002D19EB" w:rsidRPr="00B604C1" w:rsidRDefault="002D19EB" w:rsidP="002D19EB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97" w:type="pct"/>
            <w:shd w:val="clear" w:color="auto" w:fill="auto"/>
          </w:tcPr>
          <w:p w:rsidR="002D19EB" w:rsidRPr="006C709F" w:rsidRDefault="002D19EB" w:rsidP="002D19EB">
            <w:pPr>
              <w:jc w:val="both"/>
              <w:rPr>
                <w:sz w:val="24"/>
                <w:szCs w:val="24"/>
                <w:lang w:eastAsia="ru-RU"/>
              </w:rPr>
            </w:pPr>
            <w:r w:rsidRPr="006C709F">
              <w:rPr>
                <w:sz w:val="24"/>
                <w:szCs w:val="24"/>
                <w:lang w:eastAsia="ru-RU"/>
              </w:rPr>
              <w:t>Знання:</w:t>
            </w:r>
          </w:p>
          <w:p w:rsidR="002D19EB" w:rsidRPr="006C709F" w:rsidRDefault="002D19EB" w:rsidP="002D19EB">
            <w:pPr>
              <w:jc w:val="both"/>
              <w:rPr>
                <w:sz w:val="24"/>
                <w:szCs w:val="24"/>
                <w:lang w:eastAsia="ru-RU"/>
              </w:rPr>
            </w:pPr>
            <w:r w:rsidRPr="006C709F">
              <w:rPr>
                <w:sz w:val="24"/>
                <w:szCs w:val="24"/>
                <w:lang w:eastAsia="ru-RU"/>
              </w:rPr>
              <w:lastRenderedPageBreak/>
              <w:t>-</w:t>
            </w:r>
            <w:r w:rsidRPr="006C709F">
              <w:rPr>
                <w:sz w:val="24"/>
                <w:szCs w:val="24"/>
              </w:rPr>
              <w:t> </w:t>
            </w:r>
            <w:r w:rsidRPr="006C709F">
              <w:rPr>
                <w:sz w:val="24"/>
                <w:szCs w:val="24"/>
                <w:lang w:eastAsia="ru-RU"/>
              </w:rPr>
              <w:t>Закону України “Про державні фінансові гарантії медичного обслуговування населення”;</w:t>
            </w:r>
          </w:p>
          <w:p w:rsidR="002D19EB" w:rsidRDefault="002D19EB" w:rsidP="002D19EB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6C709F">
              <w:rPr>
                <w:sz w:val="24"/>
                <w:szCs w:val="24"/>
                <w:lang w:eastAsia="ru-RU"/>
              </w:rPr>
              <w:t>-</w:t>
            </w:r>
            <w:r w:rsidRPr="006C709F">
              <w:rPr>
                <w:sz w:val="24"/>
                <w:szCs w:val="24"/>
              </w:rPr>
              <w:t> Постанови Кабінету Міні</w:t>
            </w:r>
            <w:r>
              <w:rPr>
                <w:sz w:val="24"/>
                <w:szCs w:val="24"/>
              </w:rPr>
              <w:t xml:space="preserve">стрів України від 27.12.2017 </w:t>
            </w:r>
            <w:r>
              <w:rPr>
                <w:sz w:val="24"/>
                <w:szCs w:val="24"/>
              </w:rPr>
              <w:br/>
              <w:t>№</w:t>
            </w:r>
            <w:r>
              <w:t> </w:t>
            </w:r>
            <w:r w:rsidRPr="006C709F">
              <w:rPr>
                <w:sz w:val="24"/>
                <w:szCs w:val="24"/>
              </w:rPr>
              <w:t>1101 “Про утворення Національної служби здоров’я України”;</w:t>
            </w:r>
          </w:p>
          <w:p w:rsidR="002D19EB" w:rsidRPr="006C709F" w:rsidRDefault="00992A9C" w:rsidP="00992A9C">
            <w:pPr>
              <w:tabs>
                <w:tab w:val="left" w:pos="18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Hyperlink0"/>
                <w:rFonts w:eastAsia="Arial Unicode MS"/>
                <w:sz w:val="24"/>
                <w:szCs w:val="24"/>
              </w:rPr>
              <w:t xml:space="preserve">- Постанови Кабінету Міністрів України від 15.02.2021 </w:t>
            </w:r>
            <w:r>
              <w:rPr>
                <w:rStyle w:val="Hyperlink0"/>
                <w:rFonts w:eastAsia="Arial Unicode MS"/>
                <w:sz w:val="24"/>
                <w:szCs w:val="24"/>
              </w:rPr>
              <w:br/>
              <w:t>№ 133 “Деякі питання реалізації програми державних гарантій медичного обслуговування населення у ІІ – </w:t>
            </w:r>
            <w:r>
              <w:rPr>
                <w:rStyle w:val="a8"/>
                <w:sz w:val="24"/>
                <w:szCs w:val="24"/>
                <w:lang w:val="en-US"/>
              </w:rPr>
              <w:t>IV</w:t>
            </w:r>
            <w:r>
              <w:rPr>
                <w:rStyle w:val="Hyperlink0"/>
                <w:rFonts w:eastAsia="Arial Unicode MS"/>
                <w:sz w:val="24"/>
                <w:szCs w:val="24"/>
              </w:rPr>
              <w:t xml:space="preserve">  кварталах </w:t>
            </w:r>
            <w:r w:rsidRPr="009C191D">
              <w:rPr>
                <w:rStyle w:val="Hyperlink0"/>
                <w:rFonts w:eastAsia="Arial Unicode MS"/>
                <w:sz w:val="24"/>
                <w:szCs w:val="24"/>
                <w:lang w:val="ru-RU"/>
              </w:rPr>
              <w:t xml:space="preserve">2021 </w:t>
            </w:r>
            <w:r>
              <w:rPr>
                <w:rStyle w:val="Hyperlink0"/>
                <w:rFonts w:eastAsia="Arial Unicode MS"/>
                <w:sz w:val="24"/>
                <w:szCs w:val="24"/>
              </w:rPr>
              <w:t>року”</w:t>
            </w:r>
          </w:p>
        </w:tc>
      </w:tr>
      <w:tr w:rsidR="00992A9C" w:rsidRPr="00ED5991" w:rsidTr="00992A9C">
        <w:trPr>
          <w:tblCellSpacing w:w="22" w:type="dxa"/>
        </w:trPr>
        <w:tc>
          <w:tcPr>
            <w:tcW w:w="157" w:type="pct"/>
          </w:tcPr>
          <w:p w:rsidR="00992A9C" w:rsidRPr="00ED5991" w:rsidRDefault="00992A9C" w:rsidP="00992A9C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60" w:type="pct"/>
            <w:shd w:val="clear" w:color="auto" w:fill="auto"/>
          </w:tcPr>
          <w:p w:rsidR="00992A9C" w:rsidRDefault="00992A9C" w:rsidP="00992A9C">
            <w:pPr>
              <w:tabs>
                <w:tab w:val="left" w:pos="1418"/>
              </w:tabs>
            </w:pPr>
            <w:r>
              <w:rPr>
                <w:rStyle w:val="Hyperlink0"/>
                <w:rFonts w:eastAsia="Arial Unicode MS"/>
                <w:sz w:val="24"/>
                <w:szCs w:val="24"/>
              </w:rPr>
              <w:t xml:space="preserve">Знання у сфері розробки та запуску навчальних та освітніх </w:t>
            </w:r>
            <w:proofErr w:type="spellStart"/>
            <w:r>
              <w:rPr>
                <w:rStyle w:val="Hyperlink0"/>
                <w:rFonts w:eastAsia="Arial Unicode MS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3097" w:type="pct"/>
            <w:shd w:val="clear" w:color="auto" w:fill="auto"/>
          </w:tcPr>
          <w:p w:rsidR="00992A9C" w:rsidRPr="00C15D8F" w:rsidRDefault="00992A9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навички </w:t>
            </w:r>
            <w:proofErr w:type="spellStart"/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проєктування</w:t>
            </w:r>
            <w:proofErr w:type="spellEnd"/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освітнього досвіду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;</w:t>
            </w:r>
          </w:p>
          <w:p w:rsidR="00992A9C" w:rsidRPr="00C15D8F" w:rsidRDefault="00992A9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матриця розподілу відповідальності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;</w:t>
            </w:r>
          </w:p>
          <w:p w:rsidR="00992A9C" w:rsidRPr="00C15D8F" w:rsidRDefault="00992A9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педагогічний дизайн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;</w:t>
            </w:r>
          </w:p>
          <w:p w:rsidR="00992A9C" w:rsidRPr="00C15D8F" w:rsidRDefault="00992A9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алго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ритми проектування онлайн курсу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;</w:t>
            </w:r>
          </w:p>
          <w:p w:rsidR="00992A9C" w:rsidRPr="00C15D8F" w:rsidRDefault="0047363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вміння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="00992A9C" w:rsidRPr="00C15D8F">
              <w:rPr>
                <w:rStyle w:val="a8"/>
                <w:rFonts w:ascii="Times New Roman" w:hAnsi="Times New Roman"/>
                <w:sz w:val="24"/>
                <w:szCs w:val="24"/>
              </w:rPr>
              <w:t>проводити аналіз аудиторії, використовувати методи дослідження (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інтерв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’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ю</w:t>
            </w:r>
            <w:r w:rsidR="00992A9C" w:rsidRPr="00C15D8F">
              <w:rPr>
                <w:rStyle w:val="a8"/>
                <w:rFonts w:ascii="Times New Roman" w:hAnsi="Times New Roman"/>
                <w:sz w:val="24"/>
                <w:szCs w:val="24"/>
              </w:rPr>
              <w:t>, фокус-групи,</w:t>
            </w:r>
            <w:r w:rsidR="00992A9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анкетування) та обробляти дані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;</w:t>
            </w:r>
          </w:p>
          <w:p w:rsidR="00992A9C" w:rsidRPr="00C15D8F" w:rsidRDefault="0047363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з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інструмент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ів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="00992A9C" w:rsidRPr="00C15D8F">
              <w:rPr>
                <w:rStyle w:val="a8"/>
                <w:rFonts w:ascii="Times New Roman" w:hAnsi="Times New Roman"/>
                <w:sz w:val="24"/>
                <w:szCs w:val="24"/>
              </w:rPr>
              <w:t>оцінки зна</w:t>
            </w:r>
            <w:r w:rsidR="00992A9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нь та мотивації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слухачів </w:t>
            </w:r>
            <w:r w:rsidR="00992A9C">
              <w:rPr>
                <w:rStyle w:val="a8"/>
                <w:rFonts w:ascii="Times New Roman" w:hAnsi="Times New Roman"/>
                <w:sz w:val="24"/>
                <w:szCs w:val="24"/>
              </w:rPr>
              <w:t>для курсу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;</w:t>
            </w:r>
          </w:p>
          <w:p w:rsidR="00992A9C" w:rsidRPr="00C15D8F" w:rsidRDefault="00992A9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знання методології збору, навички аналізу, структурування, </w:t>
            </w:r>
            <w:r w:rsidR="0047363C" w:rsidRPr="00C15D8F">
              <w:rPr>
                <w:rStyle w:val="a8"/>
                <w:rFonts w:ascii="Times New Roman" w:hAnsi="Times New Roman"/>
                <w:sz w:val="24"/>
                <w:szCs w:val="24"/>
              </w:rPr>
              <w:t>систематиз</w:t>
            </w:r>
            <w:r w:rsidR="0047363C">
              <w:rPr>
                <w:rStyle w:val="a8"/>
                <w:rFonts w:ascii="Times New Roman" w:hAnsi="Times New Roman"/>
                <w:sz w:val="24"/>
                <w:szCs w:val="24"/>
              </w:rPr>
              <w:t>ації</w:t>
            </w:r>
            <w:r w:rsidR="0047363C"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та викладу і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нформації у навчальному форматі;</w:t>
            </w:r>
          </w:p>
          <w:p w:rsidR="00992A9C" w:rsidRPr="00C15D8F" w:rsidRDefault="00992A9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вміння оцінювати матеріал</w:t>
            </w:r>
            <w:r w:rsidR="0047363C">
              <w:rPr>
                <w:rStyle w:val="a8"/>
                <w:rFonts w:ascii="Times New Roman" w:hAnsi="Times New Roman"/>
                <w:sz w:val="24"/>
                <w:szCs w:val="24"/>
              </w:rPr>
              <w:t>,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напрацьований іншими</w:t>
            </w:r>
            <w:r w:rsidR="0047363C">
              <w:rPr>
                <w:rStyle w:val="a8"/>
                <w:rFonts w:ascii="Times New Roman" w:hAnsi="Times New Roman"/>
                <w:sz w:val="24"/>
                <w:szCs w:val="24"/>
              </w:rPr>
              <w:t>,</w:t>
            </w: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та визначати м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ісця, які потребують поліпшення;</w:t>
            </w:r>
          </w:p>
          <w:p w:rsidR="00992A9C" w:rsidRPr="00C15D8F" w:rsidRDefault="00992A9C" w:rsidP="0066579A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знання навчальних форм та формат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ів викладу навчального контенту;</w:t>
            </w:r>
          </w:p>
          <w:p w:rsidR="00A43D7B" w:rsidRPr="00C75209" w:rsidRDefault="00992A9C" w:rsidP="00C75209">
            <w:pPr>
              <w:pStyle w:val="a4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вміння проводити та </w:t>
            </w:r>
            <w:proofErr w:type="spellStart"/>
            <w:r w:rsidRPr="00C15D8F">
              <w:rPr>
                <w:rStyle w:val="a8"/>
                <w:rFonts w:ascii="Times New Roman" w:hAnsi="Times New Roman"/>
                <w:sz w:val="24"/>
                <w:szCs w:val="24"/>
              </w:rPr>
              <w:t>модеру</w:t>
            </w:r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>вати</w:t>
            </w:r>
            <w:proofErr w:type="spellEnd"/>
            <w:r w:rsidR="00A43D7B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зустрічі, вести переговори</w:t>
            </w:r>
          </w:p>
        </w:tc>
      </w:tr>
    </w:tbl>
    <w:p w:rsidR="00EB2F3A" w:rsidRDefault="00EB2F3A" w:rsidP="00EB2F3A"/>
    <w:sectPr w:rsidR="00EB2F3A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4D4"/>
    <w:multiLevelType w:val="hybridMultilevel"/>
    <w:tmpl w:val="19726826"/>
    <w:lvl w:ilvl="0" w:tplc="11D8C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1DCB"/>
    <w:multiLevelType w:val="hybridMultilevel"/>
    <w:tmpl w:val="5E007C86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AC67DBB"/>
    <w:multiLevelType w:val="hybridMultilevel"/>
    <w:tmpl w:val="904075D0"/>
    <w:lvl w:ilvl="0" w:tplc="11D8C9BC">
      <w:start w:val="1"/>
      <w:numFmt w:val="bullet"/>
      <w:lvlText w:val="-"/>
      <w:lvlJc w:val="left"/>
      <w:pPr>
        <w:ind w:left="2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EA076">
      <w:start w:val="1"/>
      <w:numFmt w:val="bullet"/>
      <w:lvlText w:val="o"/>
      <w:lvlJc w:val="left"/>
      <w:pPr>
        <w:ind w:left="9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6C478">
      <w:start w:val="1"/>
      <w:numFmt w:val="bullet"/>
      <w:lvlText w:val="-"/>
      <w:lvlJc w:val="left"/>
      <w:pPr>
        <w:ind w:left="16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5A2E6A">
      <w:start w:val="1"/>
      <w:numFmt w:val="bullet"/>
      <w:lvlText w:val="•"/>
      <w:lvlJc w:val="left"/>
      <w:pPr>
        <w:ind w:left="23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408E60">
      <w:start w:val="1"/>
      <w:numFmt w:val="bullet"/>
      <w:lvlText w:val="o"/>
      <w:lvlJc w:val="left"/>
      <w:pPr>
        <w:ind w:left="311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4C3512">
      <w:start w:val="1"/>
      <w:numFmt w:val="bullet"/>
      <w:lvlText w:val="▪"/>
      <w:lvlJc w:val="left"/>
      <w:pPr>
        <w:ind w:left="38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5C8B48">
      <w:start w:val="1"/>
      <w:numFmt w:val="bullet"/>
      <w:lvlText w:val="•"/>
      <w:lvlJc w:val="left"/>
      <w:pPr>
        <w:ind w:left="45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6AC6BC">
      <w:start w:val="1"/>
      <w:numFmt w:val="bullet"/>
      <w:lvlText w:val="o"/>
      <w:lvlJc w:val="left"/>
      <w:pPr>
        <w:ind w:left="52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0AB214">
      <w:start w:val="1"/>
      <w:numFmt w:val="bullet"/>
      <w:lvlText w:val="▪"/>
      <w:lvlJc w:val="left"/>
      <w:pPr>
        <w:ind w:left="59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7D1AAF"/>
    <w:multiLevelType w:val="hybridMultilevel"/>
    <w:tmpl w:val="B78E431A"/>
    <w:lvl w:ilvl="0" w:tplc="037CFB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73B3"/>
    <w:multiLevelType w:val="hybridMultilevel"/>
    <w:tmpl w:val="F6A25E7E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EC0214"/>
    <w:multiLevelType w:val="hybridMultilevel"/>
    <w:tmpl w:val="0548DCFE"/>
    <w:lvl w:ilvl="0" w:tplc="A6AA38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F87425A"/>
    <w:multiLevelType w:val="hybridMultilevel"/>
    <w:tmpl w:val="6A52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2"/>
    <w:lvlOverride w:ilvl="0">
      <w:lvl w:ilvl="0" w:tplc="11D8C9BC">
        <w:start w:val="1"/>
        <w:numFmt w:val="bullet"/>
        <w:lvlText w:val="-"/>
        <w:lvlJc w:val="left"/>
        <w:pPr>
          <w:ind w:left="2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EA076">
        <w:start w:val="1"/>
        <w:numFmt w:val="bullet"/>
        <w:lvlText w:val="o"/>
        <w:lvlJc w:val="left"/>
        <w:pPr>
          <w:ind w:left="9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F6C478">
        <w:start w:val="1"/>
        <w:numFmt w:val="bullet"/>
        <w:lvlText w:val="-"/>
        <w:lvlJc w:val="left"/>
        <w:pPr>
          <w:ind w:left="16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5A2E6A">
        <w:start w:val="1"/>
        <w:numFmt w:val="bullet"/>
        <w:lvlText w:val="•"/>
        <w:lvlJc w:val="left"/>
        <w:pPr>
          <w:ind w:left="23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08E60">
        <w:start w:val="1"/>
        <w:numFmt w:val="bullet"/>
        <w:lvlText w:val="o"/>
        <w:lvlJc w:val="left"/>
        <w:pPr>
          <w:ind w:left="311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C3512">
        <w:start w:val="1"/>
        <w:numFmt w:val="bullet"/>
        <w:lvlText w:val="▪"/>
        <w:lvlJc w:val="left"/>
        <w:pPr>
          <w:ind w:left="38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5C8B48">
        <w:start w:val="1"/>
        <w:numFmt w:val="bullet"/>
        <w:lvlText w:val="•"/>
        <w:lvlJc w:val="left"/>
        <w:pPr>
          <w:ind w:left="45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6AC6BC">
        <w:start w:val="1"/>
        <w:numFmt w:val="bullet"/>
        <w:lvlText w:val="o"/>
        <w:lvlJc w:val="left"/>
        <w:pPr>
          <w:ind w:left="52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AB214">
        <w:start w:val="1"/>
        <w:numFmt w:val="bullet"/>
        <w:lvlText w:val="▪"/>
        <w:lvlJc w:val="left"/>
        <w:pPr>
          <w:ind w:left="59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A"/>
    <w:rsid w:val="000041BC"/>
    <w:rsid w:val="000C09E7"/>
    <w:rsid w:val="00133DF7"/>
    <w:rsid w:val="001640CA"/>
    <w:rsid w:val="002637A1"/>
    <w:rsid w:val="002878EF"/>
    <w:rsid w:val="002D19EB"/>
    <w:rsid w:val="002E06CE"/>
    <w:rsid w:val="0032335C"/>
    <w:rsid w:val="00351D16"/>
    <w:rsid w:val="004077C9"/>
    <w:rsid w:val="0047363C"/>
    <w:rsid w:val="004923B7"/>
    <w:rsid w:val="004E4227"/>
    <w:rsid w:val="005C7A2C"/>
    <w:rsid w:val="0066579A"/>
    <w:rsid w:val="00685A94"/>
    <w:rsid w:val="006C709F"/>
    <w:rsid w:val="007049EA"/>
    <w:rsid w:val="00743DE2"/>
    <w:rsid w:val="007A1E8C"/>
    <w:rsid w:val="007B0805"/>
    <w:rsid w:val="0081481A"/>
    <w:rsid w:val="00877EBD"/>
    <w:rsid w:val="00887461"/>
    <w:rsid w:val="00907B44"/>
    <w:rsid w:val="00992A9C"/>
    <w:rsid w:val="00A43D7B"/>
    <w:rsid w:val="00AD7DFF"/>
    <w:rsid w:val="00B94827"/>
    <w:rsid w:val="00BE0602"/>
    <w:rsid w:val="00C75209"/>
    <w:rsid w:val="00D774F2"/>
    <w:rsid w:val="00E14223"/>
    <w:rsid w:val="00E431B6"/>
    <w:rsid w:val="00E70B3C"/>
    <w:rsid w:val="00E83E2C"/>
    <w:rsid w:val="00E9584E"/>
    <w:rsid w:val="00EB2F3A"/>
    <w:rsid w:val="00EC1B49"/>
    <w:rsid w:val="00F5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CD8E"/>
  <w15:chartTrackingRefBased/>
  <w15:docId w15:val="{DAF46F7A-235E-45CE-8607-05C45F3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3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EB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EB2F3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EB2F3A"/>
  </w:style>
  <w:style w:type="paragraph" w:customStyle="1" w:styleId="rvps14">
    <w:name w:val="rvps14"/>
    <w:basedOn w:val="a"/>
    <w:uiPriority w:val="99"/>
    <w:rsid w:val="00EB2F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qFormat/>
    <w:rsid w:val="00EB2F3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EB2F3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31B6"/>
    <w:rPr>
      <w:rFonts w:ascii="Segoe UI" w:eastAsia="Times New Roman" w:hAnsi="Segoe UI" w:cs="Segoe UI"/>
      <w:sz w:val="18"/>
      <w:szCs w:val="18"/>
    </w:rPr>
  </w:style>
  <w:style w:type="character" w:customStyle="1" w:styleId="a8">
    <w:name w:val="Немає"/>
    <w:rsid w:val="00992A9C"/>
  </w:style>
  <w:style w:type="character" w:customStyle="1" w:styleId="Hyperlink0">
    <w:name w:val="Hyperlink.0"/>
    <w:basedOn w:val="a8"/>
    <w:rsid w:val="00992A9C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2E06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E06C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2E06CE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06C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2E06CE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6159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13</cp:revision>
  <cp:lastPrinted>2021-10-21T14:06:00Z</cp:lastPrinted>
  <dcterms:created xsi:type="dcterms:W3CDTF">2021-10-25T13:12:00Z</dcterms:created>
  <dcterms:modified xsi:type="dcterms:W3CDTF">2021-11-08T14:39:00Z</dcterms:modified>
</cp:coreProperties>
</file>