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B2F3A" w:rsidRPr="00ED5991" w:rsidTr="009256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2F3A" w:rsidRPr="00182F1B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A6740D">
              <w:rPr>
                <w:color w:val="000000"/>
                <w:sz w:val="24"/>
                <w:szCs w:val="24"/>
              </w:rPr>
              <w:t>6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EB2F3A" w:rsidRPr="00ED5991" w:rsidRDefault="00EB2F3A" w:rsidP="00D226F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від</w:t>
            </w:r>
            <w:r w:rsidR="002D19EB">
              <w:rPr>
                <w:color w:val="000000"/>
                <w:sz w:val="24"/>
                <w:szCs w:val="24"/>
              </w:rPr>
              <w:t xml:space="preserve"> 0</w:t>
            </w:r>
            <w:r w:rsidR="00D226F4">
              <w:rPr>
                <w:color w:val="000000"/>
                <w:sz w:val="24"/>
                <w:szCs w:val="24"/>
              </w:rPr>
              <w:t>8</w:t>
            </w:r>
            <w:r w:rsidR="000C09E7">
              <w:rPr>
                <w:color w:val="000000"/>
                <w:sz w:val="24"/>
                <w:szCs w:val="24"/>
              </w:rPr>
              <w:t>.1</w:t>
            </w:r>
            <w:r w:rsidR="002D19EB">
              <w:rPr>
                <w:color w:val="000000"/>
                <w:sz w:val="24"/>
                <w:szCs w:val="24"/>
              </w:rPr>
              <w:t>1</w:t>
            </w:r>
            <w:r w:rsidR="000C09E7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D226F4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EB2F3A" w:rsidRPr="00ED5991" w:rsidRDefault="00EB2F3A" w:rsidP="00EB2F3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EB2F3A" w:rsidRPr="00AC7525" w:rsidRDefault="00EB2F3A" w:rsidP="00E70B3C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AC752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EB2F3A" w:rsidRPr="00AC7525" w:rsidRDefault="00EB2F3A" w:rsidP="00E70B3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AC752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AC7525">
        <w:rPr>
          <w:rFonts w:ascii="Times New Roman" w:hAnsi="Times New Roman"/>
          <w:sz w:val="24"/>
          <w:szCs w:val="24"/>
        </w:rPr>
        <w:t>“Б” –</w:t>
      </w:r>
    </w:p>
    <w:p w:rsidR="00BE0602" w:rsidRPr="00FB2759" w:rsidRDefault="006D171D" w:rsidP="001C21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AC7525">
        <w:rPr>
          <w:rFonts w:ascii="Times New Roman" w:hAnsi="Times New Roman"/>
          <w:sz w:val="24"/>
          <w:szCs w:val="24"/>
        </w:rPr>
        <w:t xml:space="preserve">заступника начальника відділу роботи з договорами щодо надання первинної медичної допомоги управління роботи з договорами щодо надання первинної медичної допомоги та договорами про </w:t>
      </w:r>
      <w:proofErr w:type="spellStart"/>
      <w:r w:rsidRPr="00AC7525">
        <w:rPr>
          <w:rFonts w:ascii="Times New Roman" w:hAnsi="Times New Roman"/>
          <w:sz w:val="24"/>
          <w:szCs w:val="24"/>
        </w:rPr>
        <w:t>реімбурсацію</w:t>
      </w:r>
      <w:proofErr w:type="spellEnd"/>
      <w:r w:rsidRPr="00AC7525">
        <w:rPr>
          <w:rFonts w:ascii="Times New Roman" w:hAnsi="Times New Roman"/>
          <w:sz w:val="24"/>
          <w:szCs w:val="24"/>
        </w:rPr>
        <w:t xml:space="preserve"> Департаменту договірної роботи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14"/>
        <w:gridCol w:w="6306"/>
      </w:tblGrid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ED5991" w:rsidRDefault="00EB2F3A" w:rsidP="009256A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3443AD" w:rsidRPr="00ED5991" w:rsidTr="003443AD">
        <w:trPr>
          <w:trHeight w:val="1043"/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2" w:type="pct"/>
            <w:shd w:val="clear" w:color="auto" w:fill="auto"/>
          </w:tcPr>
          <w:p w:rsidR="003443AD" w:rsidRDefault="003443AD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2377CA">
              <w:rPr>
                <w:rFonts w:ascii="Times New Roman" w:hAnsi="Times New Roman"/>
                <w:sz w:val="24"/>
                <w:szCs w:val="24"/>
              </w:rPr>
              <w:t xml:space="preserve"> підготовч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377CA">
              <w:rPr>
                <w:rFonts w:ascii="Times New Roman" w:hAnsi="Times New Roman"/>
                <w:sz w:val="24"/>
                <w:szCs w:val="24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377CA">
              <w:rPr>
                <w:rFonts w:ascii="Times New Roman" w:hAnsi="Times New Roman"/>
                <w:sz w:val="24"/>
                <w:szCs w:val="24"/>
              </w:rPr>
              <w:t xml:space="preserve"> для укладення договорів щодо </w:t>
            </w:r>
            <w:r w:rsidRPr="00574DD8"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4DD8">
              <w:rPr>
                <w:rFonts w:ascii="Times New Roman" w:hAnsi="Times New Roman"/>
                <w:sz w:val="24"/>
                <w:szCs w:val="24"/>
              </w:rPr>
              <w:t xml:space="preserve"> первинної медичної допомоги (далі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DD8">
              <w:rPr>
                <w:rFonts w:ascii="Times New Roman" w:hAnsi="Times New Roman"/>
                <w:sz w:val="24"/>
                <w:szCs w:val="24"/>
              </w:rPr>
              <w:t>договори щодо ПМД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23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3AD" w:rsidRDefault="003443AD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здійснює</w:t>
            </w:r>
            <w:r w:rsidRPr="0098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укладення, змін</w:t>
            </w:r>
            <w:r w:rsidRPr="00980A9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припинення договорів щодо</w:t>
            </w:r>
            <w:r w:rsidRPr="002377CA">
              <w:rPr>
                <w:rFonts w:ascii="Times New Roman" w:hAnsi="Times New Roman"/>
                <w:sz w:val="24"/>
                <w:szCs w:val="24"/>
              </w:rPr>
              <w:t xml:space="preserve"> ПМД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43AD" w:rsidRPr="003443AD" w:rsidRDefault="003443AD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CB31C8">
              <w:rPr>
                <w:rFonts w:ascii="Times New Roman" w:hAnsi="Times New Roman"/>
                <w:sz w:val="24"/>
                <w:szCs w:val="24"/>
              </w:rPr>
              <w:t>перевірк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відповідності </w:t>
            </w:r>
            <w:r w:rsidRPr="00980A9B">
              <w:rPr>
                <w:rFonts w:ascii="Times New Roman" w:hAnsi="Times New Roman"/>
                <w:sz w:val="24"/>
                <w:szCs w:val="24"/>
              </w:rPr>
              <w:t>закладів охорони здоров’я</w:t>
            </w:r>
            <w:r w:rsidRPr="0098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вимогам, передбаченим законодавством, в проц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есі укладення договорів щодо ПМД та внесенні змін до них;</w:t>
            </w:r>
          </w:p>
          <w:p w:rsidR="003443AD" w:rsidRDefault="003443AD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B31C8">
              <w:rPr>
                <w:rFonts w:ascii="Times New Roman" w:hAnsi="Times New Roman"/>
                <w:sz w:val="24"/>
                <w:szCs w:val="24"/>
              </w:rPr>
              <w:t>отує інструкції (</w:t>
            </w:r>
            <w:proofErr w:type="spellStart"/>
            <w:r w:rsidRPr="00CB31C8">
              <w:rPr>
                <w:rFonts w:ascii="Times New Roman" w:hAnsi="Times New Roman"/>
                <w:sz w:val="24"/>
                <w:szCs w:val="24"/>
              </w:rPr>
              <w:t>скрипти</w:t>
            </w:r>
            <w:proofErr w:type="spellEnd"/>
            <w:r w:rsidRPr="00CB31C8">
              <w:rPr>
                <w:rFonts w:ascii="Times New Roman" w:hAnsi="Times New Roman"/>
                <w:sz w:val="24"/>
                <w:szCs w:val="24"/>
              </w:rPr>
              <w:t>) для відповідей операторами інформаційно-довідкової служби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CED" w:rsidRDefault="00B90CED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E74ED">
              <w:rPr>
                <w:rFonts w:ascii="Times New Roman" w:hAnsi="Times New Roman"/>
                <w:sz w:val="24"/>
                <w:szCs w:val="24"/>
              </w:rPr>
              <w:t xml:space="preserve">заємодіє з надавачами первинної медичної допомоги з питань, що </w:t>
            </w:r>
            <w:r>
              <w:rPr>
                <w:rFonts w:ascii="Times New Roman" w:hAnsi="Times New Roman"/>
                <w:sz w:val="24"/>
                <w:szCs w:val="24"/>
              </w:rPr>
              <w:t>належать до компетенції відділу;</w:t>
            </w:r>
          </w:p>
          <w:p w:rsidR="003443AD" w:rsidRPr="00895EB2" w:rsidRDefault="00895EB2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B2">
              <w:rPr>
                <w:rFonts w:ascii="Times New Roman" w:hAnsi="Times New Roman"/>
                <w:sz w:val="24"/>
                <w:szCs w:val="24"/>
              </w:rPr>
              <w:t>координує</w:t>
            </w:r>
            <w:r w:rsidRPr="00895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діяльність відділів договірної роботи територіальних органів НСЗУ з питань, що належать до компетенції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95EB2" w:rsidRPr="00895EB2" w:rsidRDefault="00895EB2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B2">
              <w:rPr>
                <w:rFonts w:ascii="Times New Roman" w:hAnsi="Times New Roman"/>
                <w:sz w:val="24"/>
                <w:szCs w:val="24"/>
              </w:rPr>
              <w:t xml:space="preserve">бере участь у обговоренні </w:t>
            </w:r>
            <w:proofErr w:type="spellStart"/>
            <w:r w:rsidRPr="00895EB2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895EB2">
              <w:rPr>
                <w:rFonts w:ascii="Times New Roman" w:hAnsi="Times New Roman"/>
                <w:sz w:val="24"/>
                <w:szCs w:val="24"/>
              </w:rPr>
              <w:t xml:space="preserve"> програми державних гарантій медичного обслуговування населення;</w:t>
            </w:r>
          </w:p>
          <w:p w:rsidR="00895EB2" w:rsidRPr="00895EB2" w:rsidRDefault="00895EB2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7D38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озробляє </w:t>
            </w:r>
            <w:proofErr w:type="spellStart"/>
            <w:r w:rsidRPr="007D388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проєкти</w:t>
            </w:r>
            <w:proofErr w:type="spellEnd"/>
            <w:r w:rsidRPr="007D388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організаційно-розпорядчих документів з питань, що належать до компетенції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895EB2" w:rsidRPr="00895EB2" w:rsidRDefault="00895EB2" w:rsidP="005D4DC3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6" w:right="11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>озгляд</w:t>
            </w:r>
            <w:r>
              <w:rPr>
                <w:rFonts w:ascii="Times New Roman" w:hAnsi="Times New Roman"/>
                <w:sz w:val="24"/>
                <w:szCs w:val="24"/>
              </w:rPr>
              <w:t>ає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 xml:space="preserve"> звернен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 xml:space="preserve"> громадян, запит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 xml:space="preserve"> на отримання публічної інформації, звернен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 xml:space="preserve"> та запит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 xml:space="preserve"> адвокатів і народних депутатів України, звернен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577AA8">
              <w:rPr>
                <w:rFonts w:ascii="Times New Roman" w:hAnsi="Times New Roman"/>
                <w:sz w:val="24"/>
                <w:szCs w:val="24"/>
              </w:rPr>
              <w:t xml:space="preserve"> органів державної влади, органів місцевого самоврядування, об'єднань 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62" w:type="pct"/>
          </w:tcPr>
          <w:p w:rsidR="003443AD" w:rsidRPr="00F5182D" w:rsidRDefault="003443AD" w:rsidP="003443AD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</w:t>
            </w:r>
            <w:r w:rsidRPr="00D226F4">
              <w:t>оклад – 9</w:t>
            </w:r>
            <w:r w:rsidRPr="00D226F4">
              <w:rPr>
                <w:color w:val="000000" w:themeColor="text1"/>
              </w:rPr>
              <w:t> 700 грн;</w:t>
            </w:r>
          </w:p>
          <w:p w:rsidR="003443AD" w:rsidRDefault="003443AD" w:rsidP="003443AD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3443AD" w:rsidRPr="00FD11AB" w:rsidRDefault="003443AD" w:rsidP="003443AD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lastRenderedPageBreak/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62" w:type="pct"/>
          </w:tcPr>
          <w:p w:rsidR="003443AD" w:rsidRDefault="003443AD" w:rsidP="003443AD">
            <w:pPr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3443AD" w:rsidRPr="00ED5915" w:rsidRDefault="003443AD" w:rsidP="003443AD">
            <w:pPr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3443AD" w:rsidRPr="00ED5991" w:rsidRDefault="003443AD" w:rsidP="003443AD">
            <w:pPr>
              <w:pStyle w:val="rvps14"/>
              <w:spacing w:before="0" w:beforeAutospacing="0" w:after="0" w:afterAutospacing="0" w:line="276" w:lineRule="auto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2" w:type="pct"/>
          </w:tcPr>
          <w:p w:rsidR="003443AD" w:rsidRPr="00416ED7" w:rsidRDefault="003443AD" w:rsidP="003443AD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443AD" w:rsidRPr="00416ED7" w:rsidRDefault="003443AD" w:rsidP="003443AD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від 25 березня 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3443AD" w:rsidRPr="00416ED7" w:rsidRDefault="003443AD" w:rsidP="003443AD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3443AD" w:rsidRPr="00416ED7" w:rsidRDefault="003443AD" w:rsidP="003443AD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3443AD" w:rsidRPr="00416ED7" w:rsidRDefault="003443AD" w:rsidP="003443AD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3443AD" w:rsidRPr="00416ED7" w:rsidRDefault="003443AD" w:rsidP="003443AD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443AD" w:rsidRDefault="003443AD" w:rsidP="003443AD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3443AD" w:rsidRDefault="003443AD" w:rsidP="003443AD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3443AD" w:rsidRPr="00281173" w:rsidRDefault="003443AD" w:rsidP="003443AD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443AD" w:rsidRDefault="003443AD" w:rsidP="003443AD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3AD" w:rsidRPr="00D3154A" w:rsidRDefault="003443AD" w:rsidP="003443AD">
            <w:pPr>
              <w:pStyle w:val="rvps14"/>
              <w:spacing w:before="0" w:beforeAutospacing="0" w:after="0" w:afterAutospacing="0" w:line="276" w:lineRule="auto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3443AD" w:rsidRPr="00FB2759" w:rsidRDefault="003443AD" w:rsidP="003443AD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3443AD" w:rsidRPr="00D3154A" w:rsidRDefault="003443AD" w:rsidP="00D226F4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до </w:t>
            </w:r>
            <w:r w:rsidRPr="00D226F4">
              <w:t xml:space="preserve">17 год 00 хв </w:t>
            </w:r>
            <w:r w:rsidR="00D226F4" w:rsidRPr="00D226F4">
              <w:t>15</w:t>
            </w:r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2" w:type="pct"/>
          </w:tcPr>
          <w:p w:rsidR="003443AD" w:rsidRPr="00D3154A" w:rsidRDefault="003443AD" w:rsidP="003443AD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443AD" w:rsidRDefault="003443AD" w:rsidP="003443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443AD" w:rsidRPr="00ED5991" w:rsidRDefault="003443AD" w:rsidP="003443AD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2" w:type="pct"/>
          </w:tcPr>
          <w:p w:rsidR="003443AD" w:rsidRPr="00D3154A" w:rsidRDefault="00D226F4" w:rsidP="0034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3443AD" w:rsidRPr="00E70B3C">
              <w:rPr>
                <w:sz w:val="24"/>
                <w:szCs w:val="24"/>
              </w:rPr>
              <w:t xml:space="preserve"> листопада 2021 року о 10 год 00 хв.</w:t>
            </w:r>
          </w:p>
          <w:p w:rsidR="003443AD" w:rsidRDefault="003443AD" w:rsidP="003443AD">
            <w:pPr>
              <w:jc w:val="both"/>
              <w:rPr>
                <w:sz w:val="24"/>
                <w:szCs w:val="24"/>
              </w:rPr>
            </w:pPr>
          </w:p>
          <w:p w:rsidR="003443AD" w:rsidRDefault="003443AD" w:rsidP="003443AD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3443AD" w:rsidRPr="00D3154A" w:rsidRDefault="003443AD" w:rsidP="003443AD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3443AD" w:rsidRPr="00D3154A" w:rsidRDefault="003443AD" w:rsidP="003443AD">
            <w:pPr>
              <w:jc w:val="both"/>
              <w:rPr>
                <w:sz w:val="24"/>
                <w:szCs w:val="24"/>
              </w:rPr>
            </w:pPr>
          </w:p>
          <w:p w:rsidR="003443AD" w:rsidRDefault="003443AD" w:rsidP="003443AD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443AD" w:rsidRPr="00D3154A" w:rsidRDefault="003443AD" w:rsidP="003443AD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443AD" w:rsidRPr="00D3154A" w:rsidRDefault="003443AD" w:rsidP="003443A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3443AD" w:rsidRPr="00D3154A" w:rsidRDefault="003443AD" w:rsidP="003443A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3443AD" w:rsidRPr="00D3154A" w:rsidRDefault="003443AD" w:rsidP="003443AD">
            <w:pPr>
              <w:tabs>
                <w:tab w:val="left" w:pos="78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2" w:type="pct"/>
          </w:tcPr>
          <w:p w:rsidR="003443AD" w:rsidRPr="00F679DA" w:rsidRDefault="003443AD" w:rsidP="003443A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3443AD" w:rsidRPr="00ED5991" w:rsidRDefault="003443AD" w:rsidP="003443AD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443AD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3443AD" w:rsidRPr="00DA0AC7" w:rsidRDefault="003443AD" w:rsidP="003443AD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2" w:type="pct"/>
          </w:tcPr>
          <w:p w:rsidR="003443AD" w:rsidRPr="00DA0AC7" w:rsidRDefault="003443AD" w:rsidP="0034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2" w:type="pct"/>
          </w:tcPr>
          <w:p w:rsidR="003443AD" w:rsidRPr="00DA0AC7" w:rsidRDefault="003443AD" w:rsidP="0034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95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2" w:type="pct"/>
          </w:tcPr>
          <w:p w:rsidR="003443AD" w:rsidRPr="00DA0AC7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62" w:type="pct"/>
          </w:tcPr>
          <w:p w:rsidR="003443AD" w:rsidRPr="00DA0AC7" w:rsidRDefault="003443AD" w:rsidP="003443AD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3443AD" w:rsidRPr="00ED5991" w:rsidTr="009256A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3443AD" w:rsidRPr="00776ABE" w:rsidRDefault="003443AD" w:rsidP="003443AD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:rsidR="003443AD" w:rsidRPr="00776ABE" w:rsidRDefault="003443AD" w:rsidP="003443AD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D" w:rsidRPr="00ED5991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D" w:rsidRPr="00ED5991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3AD" w:rsidRPr="00ED5991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3AD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3443AD" w:rsidRPr="00776ABE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3443AD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3443AD" w:rsidRPr="00ED5991" w:rsidRDefault="003443AD" w:rsidP="003443AD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873" w:type="pct"/>
            <w:gridSpan w:val="2"/>
          </w:tcPr>
          <w:p w:rsidR="003443AD" w:rsidRPr="00ED5991" w:rsidRDefault="003443AD" w:rsidP="003443AD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:rsidR="003443AD" w:rsidRPr="00ED5991" w:rsidRDefault="003443AD" w:rsidP="003443AD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443AD" w:rsidRPr="00ED5991" w:rsidTr="003443AD">
        <w:trPr>
          <w:trHeight w:val="1339"/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:rsidR="003443AD" w:rsidRPr="00ED5991" w:rsidRDefault="003443AD" w:rsidP="003443A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2" w:type="pct"/>
          </w:tcPr>
          <w:p w:rsidR="003443AD" w:rsidRPr="00E42A3F" w:rsidRDefault="003443AD" w:rsidP="003443AD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3443AD" w:rsidRPr="00ED5991" w:rsidRDefault="003443AD" w:rsidP="003443AD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43AD" w:rsidRPr="00ED5991" w:rsidRDefault="003443AD" w:rsidP="003443AD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8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3443AD" w:rsidRPr="00ED3784" w:rsidRDefault="003443AD" w:rsidP="003443AD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9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  <w:shd w:val="clear" w:color="auto" w:fill="auto"/>
          </w:tcPr>
          <w:p w:rsidR="003443AD" w:rsidRPr="00B604C1" w:rsidRDefault="003443AD" w:rsidP="003443AD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2" w:type="pct"/>
            <w:shd w:val="clear" w:color="auto" w:fill="auto"/>
          </w:tcPr>
          <w:p w:rsidR="003443AD" w:rsidRPr="00E1065C" w:rsidRDefault="003443AD" w:rsidP="003443AD">
            <w:pPr>
              <w:tabs>
                <w:tab w:val="left" w:pos="5966"/>
              </w:tabs>
              <w:ind w:left="154" w:right="166"/>
              <w:jc w:val="both"/>
              <w:rPr>
                <w:sz w:val="24"/>
                <w:szCs w:val="24"/>
                <w:lang w:eastAsia="ru-RU"/>
              </w:rPr>
            </w:pPr>
            <w:r w:rsidRPr="00E1065C">
              <w:rPr>
                <w:sz w:val="24"/>
                <w:szCs w:val="24"/>
                <w:lang w:eastAsia="ru-RU"/>
              </w:rPr>
              <w:t>Знання: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 xml:space="preserve">- Закону України “Про державні фінансові гарантії медичного обслуговування населення”; 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>- Постанови Кабінету Міністрів України від 27.12.2017</w:t>
            </w:r>
            <w:r>
              <w:rPr>
                <w:sz w:val="24"/>
                <w:szCs w:val="24"/>
              </w:rPr>
              <w:t xml:space="preserve">        </w:t>
            </w:r>
            <w:r w:rsidRPr="00E1065C">
              <w:rPr>
                <w:sz w:val="24"/>
                <w:szCs w:val="24"/>
              </w:rPr>
              <w:t xml:space="preserve"> № 1101 “Про утворення Національної служби здоров’я України”;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 xml:space="preserve">- Постанови Кабінету Міністрів України від 25.04.2018 </w:t>
            </w:r>
            <w:r>
              <w:rPr>
                <w:sz w:val="24"/>
                <w:szCs w:val="24"/>
              </w:rPr>
              <w:br/>
            </w:r>
            <w:r w:rsidRPr="00E1065C">
              <w:rPr>
                <w:sz w:val="24"/>
                <w:szCs w:val="24"/>
              </w:rPr>
              <w:t>№ 410 “Про договори про медичне обслуговування населення за програмою медичних гарантій”;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 xml:space="preserve">- Постанови Кабінету Міністрів України від 25.04.2018 </w:t>
            </w:r>
            <w:r>
              <w:rPr>
                <w:sz w:val="24"/>
                <w:szCs w:val="24"/>
              </w:rPr>
              <w:br/>
            </w:r>
            <w:r w:rsidRPr="00E1065C">
              <w:rPr>
                <w:sz w:val="24"/>
                <w:szCs w:val="24"/>
              </w:rPr>
              <w:t>№ 411 “Деякі питання електронної системи охорони здоров’я”;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lastRenderedPageBreak/>
              <w:t xml:space="preserve">- Постанови Кабінету Міністрів України від 28.03.2018 </w:t>
            </w:r>
            <w:r>
              <w:rPr>
                <w:sz w:val="24"/>
                <w:szCs w:val="24"/>
              </w:rPr>
              <w:br/>
            </w:r>
            <w:r w:rsidRPr="00E1065C">
              <w:rPr>
                <w:sz w:val="24"/>
                <w:szCs w:val="24"/>
              </w:rPr>
              <w:t xml:space="preserve">№ 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населення”; 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 xml:space="preserve">- Постанови Кабінету Міністрів України від 28.03.2018 </w:t>
            </w:r>
            <w:r>
              <w:rPr>
                <w:sz w:val="24"/>
                <w:szCs w:val="24"/>
              </w:rPr>
              <w:br/>
            </w:r>
            <w:r w:rsidRPr="00E1065C">
              <w:rPr>
                <w:sz w:val="24"/>
                <w:szCs w:val="24"/>
              </w:rPr>
              <w:t>№ 283 “Про затвердження Порядку використання коштів, передбачених у державному бюджеті для надання первинної медичної допомоги населенню”;</w:t>
            </w:r>
          </w:p>
          <w:p w:rsidR="003443AD" w:rsidRDefault="003443AD" w:rsidP="003443AD">
            <w:pPr>
              <w:tabs>
                <w:tab w:val="left" w:pos="5966"/>
              </w:tabs>
              <w:jc w:val="both"/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 xml:space="preserve">- Постанови Кабінету Міністрів України від 15.02.2021 </w:t>
            </w:r>
            <w:r>
              <w:rPr>
                <w:sz w:val="24"/>
                <w:szCs w:val="24"/>
              </w:rPr>
              <w:br/>
            </w:r>
            <w:r w:rsidRPr="00E1065C">
              <w:rPr>
                <w:sz w:val="24"/>
                <w:szCs w:val="24"/>
              </w:rPr>
              <w:t xml:space="preserve">№ 133 “Деякі питання реалізації програми державних гарантій медичного обслуговування населення у II-IV кварталах 2021 року”; </w:t>
            </w:r>
          </w:p>
          <w:p w:rsidR="003443AD" w:rsidRPr="00571B72" w:rsidRDefault="003443AD" w:rsidP="003443AD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71B72">
              <w:rPr>
                <w:sz w:val="24"/>
                <w:szCs w:val="24"/>
                <w:lang w:eastAsia="ru-RU"/>
              </w:rPr>
              <w:t>- Наказу МОЗ</w:t>
            </w:r>
            <w:r w:rsidRPr="00571B72">
              <w:rPr>
                <w:sz w:val="24"/>
                <w:szCs w:val="24"/>
              </w:rPr>
              <w:t xml:space="preserve"> України</w:t>
            </w:r>
            <w:r w:rsidRPr="00571B72">
              <w:rPr>
                <w:sz w:val="24"/>
                <w:szCs w:val="24"/>
                <w:lang w:eastAsia="ru-RU"/>
              </w:rPr>
              <w:t xml:space="preserve"> від 19.03.2018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зареєстрованого в Міністерстві юстиції України 21 березня 2018 р. за № 347/31799;</w:t>
            </w:r>
          </w:p>
          <w:p w:rsidR="003443AD" w:rsidRPr="00E1065C" w:rsidRDefault="003443AD" w:rsidP="003443AD">
            <w:pPr>
              <w:tabs>
                <w:tab w:val="left" w:pos="18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71B72">
              <w:rPr>
                <w:sz w:val="24"/>
                <w:szCs w:val="24"/>
                <w:lang w:eastAsia="ru-RU"/>
              </w:rPr>
              <w:t>- Наказу МОЗ</w:t>
            </w:r>
            <w:r w:rsidRPr="00571B72">
              <w:rPr>
                <w:sz w:val="24"/>
                <w:szCs w:val="24"/>
              </w:rPr>
              <w:t xml:space="preserve"> України</w:t>
            </w:r>
            <w:r w:rsidRPr="00571B72">
              <w:rPr>
                <w:sz w:val="24"/>
                <w:szCs w:val="24"/>
                <w:lang w:eastAsia="ru-RU"/>
              </w:rPr>
              <w:t xml:space="preserve"> від 19.03.2018 № 504 “Про затвердження Порядку надання первинної медичної допомоги”, зареєстрованого в Міністерстві юстиції України 21 березня  2018 р. за № 348/31800</w:t>
            </w:r>
          </w:p>
        </w:tc>
      </w:tr>
      <w:tr w:rsidR="003443AD" w:rsidRPr="00ED5991" w:rsidTr="003443AD">
        <w:trPr>
          <w:tblCellSpacing w:w="22" w:type="dxa"/>
        </w:trPr>
        <w:tc>
          <w:tcPr>
            <w:tcW w:w="157" w:type="pct"/>
          </w:tcPr>
          <w:p w:rsidR="003443AD" w:rsidRPr="00ED5991" w:rsidRDefault="003443AD" w:rsidP="003443AD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95" w:type="pct"/>
            <w:shd w:val="clear" w:color="auto" w:fill="auto"/>
          </w:tcPr>
          <w:p w:rsidR="003443AD" w:rsidRPr="00E1065C" w:rsidRDefault="003443AD" w:rsidP="003443AD">
            <w:pPr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 xml:space="preserve">Знання системи роботи з договорами про медичне обслуговування населення </w:t>
            </w:r>
          </w:p>
        </w:tc>
        <w:tc>
          <w:tcPr>
            <w:tcW w:w="3062" w:type="pct"/>
            <w:shd w:val="clear" w:color="auto" w:fill="auto"/>
          </w:tcPr>
          <w:p w:rsidR="003443AD" w:rsidRPr="00E1065C" w:rsidRDefault="003443AD" w:rsidP="003443AD">
            <w:pPr>
              <w:rPr>
                <w:sz w:val="24"/>
                <w:szCs w:val="24"/>
              </w:rPr>
            </w:pPr>
            <w:r w:rsidRPr="00E1065C">
              <w:rPr>
                <w:sz w:val="24"/>
                <w:szCs w:val="24"/>
              </w:rPr>
              <w:t>Здійснення заходів щодо укладення, змінення та припинення договорів</w:t>
            </w:r>
            <w:r>
              <w:rPr>
                <w:sz w:val="24"/>
                <w:szCs w:val="24"/>
              </w:rPr>
              <w:t>,</w:t>
            </w:r>
            <w:r w:rsidRPr="00E1065C">
              <w:rPr>
                <w:sz w:val="24"/>
                <w:szCs w:val="24"/>
              </w:rPr>
              <w:t xml:space="preserve"> пов’язаних з наданням первинної медичної допомог</w:t>
            </w:r>
          </w:p>
        </w:tc>
      </w:tr>
    </w:tbl>
    <w:p w:rsidR="00EB2F3A" w:rsidRDefault="00EB2F3A" w:rsidP="00EB2F3A"/>
    <w:sectPr w:rsidR="00EB2F3A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4D7"/>
    <w:multiLevelType w:val="hybridMultilevel"/>
    <w:tmpl w:val="A9EEAE46"/>
    <w:lvl w:ilvl="0" w:tplc="032AAB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354D4"/>
    <w:multiLevelType w:val="hybridMultilevel"/>
    <w:tmpl w:val="19726826"/>
    <w:lvl w:ilvl="0" w:tplc="11D8C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7FEB"/>
    <w:multiLevelType w:val="hybridMultilevel"/>
    <w:tmpl w:val="3F62FF06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2BE"/>
    <w:multiLevelType w:val="hybridMultilevel"/>
    <w:tmpl w:val="A612AA7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DCB"/>
    <w:multiLevelType w:val="hybridMultilevel"/>
    <w:tmpl w:val="5E007C86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AC67DBB"/>
    <w:multiLevelType w:val="hybridMultilevel"/>
    <w:tmpl w:val="904075D0"/>
    <w:lvl w:ilvl="0" w:tplc="11D8C9BC">
      <w:start w:val="1"/>
      <w:numFmt w:val="bullet"/>
      <w:lvlText w:val="-"/>
      <w:lvlJc w:val="left"/>
      <w:pPr>
        <w:ind w:left="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EA076">
      <w:start w:val="1"/>
      <w:numFmt w:val="bullet"/>
      <w:lvlText w:val="o"/>
      <w:lvlJc w:val="left"/>
      <w:pPr>
        <w:ind w:left="9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6C478">
      <w:start w:val="1"/>
      <w:numFmt w:val="bullet"/>
      <w:lvlText w:val="-"/>
      <w:lvlJc w:val="left"/>
      <w:pPr>
        <w:ind w:left="16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5A2E6A">
      <w:start w:val="1"/>
      <w:numFmt w:val="bullet"/>
      <w:lvlText w:val="•"/>
      <w:lvlJc w:val="left"/>
      <w:pPr>
        <w:ind w:left="2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408E60">
      <w:start w:val="1"/>
      <w:numFmt w:val="bullet"/>
      <w:lvlText w:val="o"/>
      <w:lvlJc w:val="left"/>
      <w:pPr>
        <w:ind w:left="311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4C3512">
      <w:start w:val="1"/>
      <w:numFmt w:val="bullet"/>
      <w:lvlText w:val="▪"/>
      <w:lvlJc w:val="left"/>
      <w:pPr>
        <w:ind w:left="3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C8B48">
      <w:start w:val="1"/>
      <w:numFmt w:val="bullet"/>
      <w:lvlText w:val="•"/>
      <w:lvlJc w:val="left"/>
      <w:pPr>
        <w:ind w:left="45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AC6BC">
      <w:start w:val="1"/>
      <w:numFmt w:val="bullet"/>
      <w:lvlText w:val="o"/>
      <w:lvlJc w:val="left"/>
      <w:pPr>
        <w:ind w:left="52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0AB214">
      <w:start w:val="1"/>
      <w:numFmt w:val="bullet"/>
      <w:lvlText w:val="▪"/>
      <w:lvlJc w:val="left"/>
      <w:pPr>
        <w:ind w:left="59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7D1AAF"/>
    <w:multiLevelType w:val="hybridMultilevel"/>
    <w:tmpl w:val="B78E431A"/>
    <w:lvl w:ilvl="0" w:tplc="037CFB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C83998"/>
    <w:multiLevelType w:val="hybridMultilevel"/>
    <w:tmpl w:val="7AE29DDE"/>
    <w:lvl w:ilvl="0" w:tplc="0422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8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3B3"/>
    <w:multiLevelType w:val="hybridMultilevel"/>
    <w:tmpl w:val="F6A25E7E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A34E5B"/>
    <w:multiLevelType w:val="hybridMultilevel"/>
    <w:tmpl w:val="77FC76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C3AAF"/>
    <w:multiLevelType w:val="hybridMultilevel"/>
    <w:tmpl w:val="15B8B862"/>
    <w:lvl w:ilvl="0" w:tplc="0422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3" w15:restartNumberingAfterBreak="0">
    <w:nsid w:val="5ABE764E"/>
    <w:multiLevelType w:val="hybridMultilevel"/>
    <w:tmpl w:val="BB0403E2"/>
    <w:lvl w:ilvl="0" w:tplc="56A0CA1A">
      <w:start w:val="5"/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 w15:restartNumberingAfterBreak="0">
    <w:nsid w:val="64EC0214"/>
    <w:multiLevelType w:val="hybridMultilevel"/>
    <w:tmpl w:val="0548DCFE"/>
    <w:lvl w:ilvl="0" w:tplc="A6AA3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2C423A5"/>
    <w:multiLevelType w:val="hybridMultilevel"/>
    <w:tmpl w:val="A77E32E2"/>
    <w:lvl w:ilvl="0" w:tplc="A6AA3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7425A"/>
    <w:multiLevelType w:val="hybridMultilevel"/>
    <w:tmpl w:val="6A52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16"/>
  </w:num>
  <w:num w:numId="9">
    <w:abstractNumId w:val="5"/>
  </w:num>
  <w:num w:numId="10">
    <w:abstractNumId w:val="5"/>
    <w:lvlOverride w:ilvl="0">
      <w:lvl w:ilvl="0" w:tplc="11D8C9BC">
        <w:start w:val="1"/>
        <w:numFmt w:val="bullet"/>
        <w:lvlText w:val="-"/>
        <w:lvlJc w:val="left"/>
        <w:pPr>
          <w:ind w:left="2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EA076">
        <w:start w:val="1"/>
        <w:numFmt w:val="bullet"/>
        <w:lvlText w:val="o"/>
        <w:lvlJc w:val="left"/>
        <w:pPr>
          <w:ind w:left="9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F6C478">
        <w:start w:val="1"/>
        <w:numFmt w:val="bullet"/>
        <w:lvlText w:val="-"/>
        <w:lvlJc w:val="left"/>
        <w:pPr>
          <w:ind w:left="16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A2E6A">
        <w:start w:val="1"/>
        <w:numFmt w:val="bullet"/>
        <w:lvlText w:val="•"/>
        <w:lvlJc w:val="left"/>
        <w:pPr>
          <w:ind w:left="23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08E60">
        <w:start w:val="1"/>
        <w:numFmt w:val="bullet"/>
        <w:lvlText w:val="o"/>
        <w:lvlJc w:val="left"/>
        <w:pPr>
          <w:ind w:left="311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C3512">
        <w:start w:val="1"/>
        <w:numFmt w:val="bullet"/>
        <w:lvlText w:val="▪"/>
        <w:lvlJc w:val="left"/>
        <w:pPr>
          <w:ind w:left="38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C8B48">
        <w:start w:val="1"/>
        <w:numFmt w:val="bullet"/>
        <w:lvlText w:val="•"/>
        <w:lvlJc w:val="left"/>
        <w:pPr>
          <w:ind w:left="45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AC6BC">
        <w:start w:val="1"/>
        <w:numFmt w:val="bullet"/>
        <w:lvlText w:val="o"/>
        <w:lvlJc w:val="left"/>
        <w:pPr>
          <w:ind w:left="52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AB214">
        <w:start w:val="1"/>
        <w:numFmt w:val="bullet"/>
        <w:lvlText w:val="▪"/>
        <w:lvlJc w:val="left"/>
        <w:pPr>
          <w:ind w:left="59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A"/>
    <w:rsid w:val="000C09E7"/>
    <w:rsid w:val="001640CA"/>
    <w:rsid w:val="00182F1B"/>
    <w:rsid w:val="001C213A"/>
    <w:rsid w:val="002637A1"/>
    <w:rsid w:val="002878EF"/>
    <w:rsid w:val="002D19EB"/>
    <w:rsid w:val="003443AD"/>
    <w:rsid w:val="00351D16"/>
    <w:rsid w:val="004077C9"/>
    <w:rsid w:val="004923B7"/>
    <w:rsid w:val="004E4227"/>
    <w:rsid w:val="004E7D26"/>
    <w:rsid w:val="00500055"/>
    <w:rsid w:val="00526452"/>
    <w:rsid w:val="005A1D42"/>
    <w:rsid w:val="005C7A2C"/>
    <w:rsid w:val="005D4DC3"/>
    <w:rsid w:val="005E34FF"/>
    <w:rsid w:val="00685A94"/>
    <w:rsid w:val="006B7E0E"/>
    <w:rsid w:val="006C709F"/>
    <w:rsid w:val="006D171D"/>
    <w:rsid w:val="00743DE2"/>
    <w:rsid w:val="007A1E8C"/>
    <w:rsid w:val="007B54F5"/>
    <w:rsid w:val="007D1B1C"/>
    <w:rsid w:val="0081481A"/>
    <w:rsid w:val="00847691"/>
    <w:rsid w:val="00877EBD"/>
    <w:rsid w:val="00887461"/>
    <w:rsid w:val="00895EB2"/>
    <w:rsid w:val="00907B44"/>
    <w:rsid w:val="00973FAE"/>
    <w:rsid w:val="00992A9C"/>
    <w:rsid w:val="00A43D7B"/>
    <w:rsid w:val="00A472F3"/>
    <w:rsid w:val="00A6740D"/>
    <w:rsid w:val="00AC7525"/>
    <w:rsid w:val="00AD7DFF"/>
    <w:rsid w:val="00B309BB"/>
    <w:rsid w:val="00B46A21"/>
    <w:rsid w:val="00B72E7F"/>
    <w:rsid w:val="00B90CED"/>
    <w:rsid w:val="00B94827"/>
    <w:rsid w:val="00BE0602"/>
    <w:rsid w:val="00CA2965"/>
    <w:rsid w:val="00CE373F"/>
    <w:rsid w:val="00D226F4"/>
    <w:rsid w:val="00D774F2"/>
    <w:rsid w:val="00DB5ADE"/>
    <w:rsid w:val="00DE6762"/>
    <w:rsid w:val="00E1065C"/>
    <w:rsid w:val="00E14223"/>
    <w:rsid w:val="00E431B6"/>
    <w:rsid w:val="00E70B3C"/>
    <w:rsid w:val="00E83E2C"/>
    <w:rsid w:val="00E9584E"/>
    <w:rsid w:val="00EB2F3A"/>
    <w:rsid w:val="00EC1B49"/>
    <w:rsid w:val="00F5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33B"/>
  <w15:chartTrackingRefBased/>
  <w15:docId w15:val="{DAF46F7A-235E-45CE-8607-05C45F3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3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B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B2F3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B2F3A"/>
  </w:style>
  <w:style w:type="paragraph" w:customStyle="1" w:styleId="rvps14">
    <w:name w:val="rvps14"/>
    <w:basedOn w:val="a"/>
    <w:uiPriority w:val="99"/>
    <w:rsid w:val="00EB2F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B2F3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B2F3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1B6"/>
    <w:rPr>
      <w:rFonts w:ascii="Segoe UI" w:eastAsia="Times New Roman" w:hAnsi="Segoe UI" w:cs="Segoe UI"/>
      <w:sz w:val="18"/>
      <w:szCs w:val="18"/>
    </w:rPr>
  </w:style>
  <w:style w:type="character" w:customStyle="1" w:styleId="a8">
    <w:name w:val="Немає"/>
    <w:rsid w:val="00992A9C"/>
  </w:style>
  <w:style w:type="character" w:customStyle="1" w:styleId="Hyperlink0">
    <w:name w:val="Hyperlink.0"/>
    <w:basedOn w:val="a8"/>
    <w:rsid w:val="00992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5088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Z960254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4_170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1707-3CC6-451C-976B-639ED67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6212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15</cp:revision>
  <cp:lastPrinted>2021-10-21T14:06:00Z</cp:lastPrinted>
  <dcterms:created xsi:type="dcterms:W3CDTF">2021-11-03T14:58:00Z</dcterms:created>
  <dcterms:modified xsi:type="dcterms:W3CDTF">2021-11-08T14:48:00Z</dcterms:modified>
</cp:coreProperties>
</file>