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E70A52">
              <w:rPr>
                <w:color w:val="000000"/>
                <w:sz w:val="24"/>
                <w:szCs w:val="24"/>
              </w:rPr>
              <w:t>8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16652F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924E31">
              <w:rPr>
                <w:color w:val="000000"/>
                <w:sz w:val="24"/>
                <w:szCs w:val="24"/>
              </w:rPr>
              <w:t>0</w:t>
            </w:r>
            <w:r w:rsidR="0016652F">
              <w:rPr>
                <w:color w:val="000000"/>
                <w:sz w:val="24"/>
                <w:szCs w:val="24"/>
              </w:rPr>
              <w:t>8</w:t>
            </w:r>
            <w:r w:rsidR="000F6B0A" w:rsidRPr="00924E31">
              <w:rPr>
                <w:color w:val="000000"/>
                <w:sz w:val="24"/>
                <w:szCs w:val="24"/>
                <w:lang w:val="ru-RU"/>
              </w:rPr>
              <w:t>.1</w:t>
            </w:r>
            <w:r w:rsidR="00924E31">
              <w:rPr>
                <w:color w:val="000000"/>
                <w:sz w:val="24"/>
                <w:szCs w:val="24"/>
                <w:lang w:val="ru-RU"/>
              </w:rPr>
              <w:t>1</w:t>
            </w:r>
            <w:r w:rsidR="000F6B0A" w:rsidRPr="00924E31">
              <w:rPr>
                <w:color w:val="000000"/>
                <w:sz w:val="24"/>
                <w:szCs w:val="24"/>
                <w:lang w:val="ru-RU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16652F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2D300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E70A52" w:rsidRPr="00E70A52" w:rsidRDefault="00E70A52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70A52">
        <w:rPr>
          <w:rFonts w:ascii="Times New Roman" w:hAnsi="Times New Roman"/>
          <w:sz w:val="24"/>
          <w:szCs w:val="24"/>
        </w:rPr>
        <w:t>головного спеціаліста відділу роботи з договорами щодо спеціалізованої медичної допомоги по Східному та Північному регіонах управління роботи з договорами щодо спеціалізованої медичної допомоги Департаменту договірної роботи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76"/>
        <w:gridCol w:w="6244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32" w:type="pct"/>
            <w:shd w:val="clear" w:color="auto" w:fill="auto"/>
          </w:tcPr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проводить підготовчу роботу для укладення договорів про медичне обслуговування населення за програмою медичних гарантій щодо спеціалізованої медичної допомоги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(далі </w:t>
            </w:r>
            <w:r w:rsidR="00D61E36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СМД)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 xml:space="preserve"> із закладами охорони здоров’я, що розташовані на території відповідних областей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проводить перевірку відповідності закладів охорони здоров’я вимогам, передбаченим законодавством для укладення договорів про медичне обслуговування населення, у порядку, визначеному наказом НСЗУ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здійснює роботу щодо укладення, зміни та припинення договорів щодо СМД із закладами охорони здоров’я, що розташовані на території відповідних областей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взаємодіє з надавачами медичних послуг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взаємодіє з відділами договірної роботи територіальних органів НСЗУ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здійснює підготовку інструкцій (</w:t>
            </w:r>
            <w:proofErr w:type="spellStart"/>
            <w:r w:rsidRPr="00924E31">
              <w:rPr>
                <w:rFonts w:ascii="Times New Roman" w:hAnsi="Times New Roman"/>
                <w:sz w:val="24"/>
                <w:szCs w:val="24"/>
              </w:rPr>
              <w:t>скриптів</w:t>
            </w:r>
            <w:proofErr w:type="spellEnd"/>
            <w:r w:rsidRPr="00924E31">
              <w:rPr>
                <w:rFonts w:ascii="Times New Roman" w:hAnsi="Times New Roman"/>
                <w:sz w:val="24"/>
                <w:szCs w:val="24"/>
              </w:rPr>
              <w:t>) для відповідей операторами інформаційно-довідкової служби НСЗУ з питань СМД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 xml:space="preserve">бере участь у розробці </w:t>
            </w:r>
            <w:proofErr w:type="spellStart"/>
            <w:r w:rsidRPr="00924E31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924E31">
              <w:rPr>
                <w:rFonts w:ascii="Times New Roman" w:hAnsi="Times New Roman"/>
                <w:sz w:val="24"/>
                <w:szCs w:val="24"/>
              </w:rPr>
              <w:t xml:space="preserve"> організаційно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>розпорядчих документів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168" w:rsidRPr="00924E31" w:rsidRDefault="00924E31" w:rsidP="00D61E36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 xml:space="preserve">розглядає звернення громадян, запити на отримання публічної інформації, звернення та запити адвокатів і народних депутатів України, листи органів державної влади, органів місцевого самоврядування, </w:t>
            </w:r>
            <w:r w:rsidR="00D61E36" w:rsidRPr="00924E31">
              <w:rPr>
                <w:rFonts w:ascii="Times New Roman" w:hAnsi="Times New Roman"/>
                <w:sz w:val="24"/>
                <w:szCs w:val="24"/>
              </w:rPr>
              <w:t>об</w:t>
            </w:r>
            <w:r w:rsidR="00D61E36">
              <w:rPr>
                <w:rFonts w:ascii="Times New Roman" w:hAnsi="Times New Roman"/>
                <w:sz w:val="24"/>
                <w:szCs w:val="24"/>
              </w:rPr>
              <w:t>’</w:t>
            </w:r>
            <w:r w:rsidR="00D61E36" w:rsidRPr="00924E31">
              <w:rPr>
                <w:rFonts w:ascii="Times New Roman" w:hAnsi="Times New Roman"/>
                <w:sz w:val="24"/>
                <w:szCs w:val="24"/>
              </w:rPr>
              <w:t xml:space="preserve">єднань 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>громадян, підприємств, установ, організацій незалежно від форми власності, їх посадових та службових осіб з питань, що належать до компетенції відділу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32" w:type="pct"/>
          </w:tcPr>
          <w:p w:rsidR="002D3003" w:rsidRPr="00D91231" w:rsidRDefault="002D3003" w:rsidP="004C1FE1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2D3003" w:rsidRDefault="002D3003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2D3003" w:rsidRPr="00FD11AB" w:rsidRDefault="002D3003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32" w:type="pct"/>
          </w:tcPr>
          <w:p w:rsidR="002D3003" w:rsidRDefault="002D3003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2D3003" w:rsidRDefault="002D3003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2D3003" w:rsidRPr="00ED5991" w:rsidRDefault="002D3003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32" w:type="pct"/>
          </w:tcPr>
          <w:p w:rsidR="002D3003" w:rsidRPr="00416ED7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D3003" w:rsidRPr="00416ED7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2D3003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2D3003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2D3003" w:rsidRPr="00281173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D3003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003" w:rsidRPr="00D3154A" w:rsidRDefault="002D3003" w:rsidP="004C1FE1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2D3003" w:rsidRPr="00FB2759" w:rsidRDefault="002D3003" w:rsidP="004C1FE1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2D3003" w:rsidRPr="00D3154A" w:rsidRDefault="002D3003" w:rsidP="000B3060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0B3060">
              <w:t xml:space="preserve">до 17 год 00 хв </w:t>
            </w:r>
            <w:r w:rsidR="000B3060" w:rsidRPr="000B3060">
              <w:t>15</w:t>
            </w:r>
            <w:r w:rsidRPr="000B3060">
              <w:rPr>
                <w:shd w:val="clear" w:color="auto" w:fill="FFFFFF" w:themeFill="background1"/>
              </w:rPr>
              <w:t xml:space="preserve"> </w:t>
            </w:r>
            <w:r w:rsidR="000B3060"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32" w:type="pct"/>
          </w:tcPr>
          <w:p w:rsidR="002D3003" w:rsidRPr="00ED5991" w:rsidRDefault="002D3003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співбесіди (із зазначенням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електронної платформи для комунікації дистанційно)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32" w:type="pct"/>
          </w:tcPr>
          <w:p w:rsidR="002D3003" w:rsidRPr="00D3154A" w:rsidRDefault="000B3060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B3060">
              <w:rPr>
                <w:sz w:val="24"/>
                <w:szCs w:val="24"/>
              </w:rPr>
              <w:lastRenderedPageBreak/>
              <w:t>18</w:t>
            </w:r>
            <w:r w:rsidR="002D3003" w:rsidRPr="000B3060">
              <w:rPr>
                <w:sz w:val="24"/>
                <w:szCs w:val="24"/>
              </w:rPr>
              <w:t xml:space="preserve"> </w:t>
            </w:r>
            <w:r w:rsidR="006C04DB" w:rsidRPr="000B3060">
              <w:rPr>
                <w:sz w:val="24"/>
                <w:szCs w:val="24"/>
              </w:rPr>
              <w:t>листопада</w:t>
            </w:r>
            <w:r w:rsidR="002D3003" w:rsidRPr="000B3060">
              <w:rPr>
                <w:sz w:val="24"/>
                <w:szCs w:val="24"/>
              </w:rPr>
              <w:t xml:space="preserve"> 2021 року о 10 год 00 хв.</w:t>
            </w:r>
            <w:bookmarkStart w:id="0" w:name="_GoBack"/>
            <w:bookmarkEnd w:id="0"/>
          </w:p>
          <w:p w:rsidR="00D61E36" w:rsidRDefault="00D61E36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2D3003" w:rsidRPr="00CD6C39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61E36" w:rsidRDefault="00D61E36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2D3003" w:rsidRPr="00D3154A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2D3003" w:rsidRPr="00D3154A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2D3003" w:rsidRPr="00D3154A" w:rsidRDefault="002D3003" w:rsidP="004C1FE1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2D3003" w:rsidRPr="00ED5991" w:rsidTr="00E70A52">
        <w:trPr>
          <w:trHeight w:val="1609"/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32" w:type="pct"/>
          </w:tcPr>
          <w:p w:rsidR="002D3003" w:rsidRPr="00ED5991" w:rsidRDefault="000F6B0A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DA0AC7" w:rsidRDefault="002D3003" w:rsidP="000F6B0A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32" w:type="pct"/>
          </w:tcPr>
          <w:p w:rsidR="002D3003" w:rsidRPr="00DA0AC7" w:rsidRDefault="002D3003" w:rsidP="000F6B0A">
            <w:pPr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32" w:type="pct"/>
          </w:tcPr>
          <w:p w:rsidR="002D3003" w:rsidRPr="00DA0AC7" w:rsidRDefault="002D3003" w:rsidP="004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32" w:type="pct"/>
          </w:tcPr>
          <w:p w:rsidR="002D3003" w:rsidRPr="00DA0AC7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32" w:type="pct"/>
          </w:tcPr>
          <w:p w:rsidR="002D3003" w:rsidRPr="00DA0AC7" w:rsidRDefault="002D3003" w:rsidP="004C1FE1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2D3003" w:rsidRPr="007A6CCE" w:rsidRDefault="002D3003" w:rsidP="004C1FE1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32" w:type="pct"/>
          </w:tcPr>
          <w:p w:rsidR="002D3003" w:rsidRPr="007A6CCE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E70A52">
        <w:trPr>
          <w:trHeight w:val="190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2D3003" w:rsidRPr="00ED5991" w:rsidTr="00E70A52">
        <w:trPr>
          <w:trHeight w:val="1898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2D3003" w:rsidRPr="00ED5991" w:rsidTr="00E70A52">
        <w:trPr>
          <w:trHeight w:val="147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2D3003" w:rsidRPr="00ED5991" w:rsidTr="00E70A52">
        <w:trPr>
          <w:trHeight w:val="1337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903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32" w:type="pct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32" w:type="pct"/>
          </w:tcPr>
          <w:p w:rsidR="002D3003" w:rsidRPr="00E42A3F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2D3003" w:rsidRPr="00ED3784" w:rsidRDefault="002D3003" w:rsidP="004C1FE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CA1712" w:rsidRPr="00ED5991" w:rsidTr="00E70A52">
        <w:trPr>
          <w:tblCellSpacing w:w="22" w:type="dxa"/>
        </w:trPr>
        <w:tc>
          <w:tcPr>
            <w:tcW w:w="157" w:type="pct"/>
          </w:tcPr>
          <w:p w:rsidR="00CA1712" w:rsidRPr="00ED5991" w:rsidRDefault="00CA1712" w:rsidP="00CA171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25" w:type="pct"/>
          </w:tcPr>
          <w:p w:rsidR="00CA1712" w:rsidRPr="00ED5991" w:rsidRDefault="00CA1712" w:rsidP="00CA1712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32" w:type="pct"/>
          </w:tcPr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Знання: </w:t>
            </w:r>
          </w:p>
          <w:p w:rsidR="00CC6B0E" w:rsidRPr="00CC6B0E" w:rsidRDefault="00CC6B0E" w:rsidP="0056476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Закону України “Про державні фінансові гарантії медичного обслуговування населення”; </w:t>
            </w:r>
          </w:p>
          <w:p w:rsidR="00CC6B0E" w:rsidRPr="00CC6B0E" w:rsidRDefault="00CC6B0E" w:rsidP="0056476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27.12.2017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1101 “Про утворення Національної служби здоров’я України”;</w:t>
            </w:r>
          </w:p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25.04.2018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411 “Деякі питання електронної системи охорони здоров’я”;</w:t>
            </w:r>
          </w:p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25.04.2018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410 “Про договори про медичне обслуговування населення за програмою медичних гарантій”;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15.02.2021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133 “Деякі питання реалізації програми державних гарантій медичного обслуговування населення у II-IV кварталах 2021 року”; </w:t>
            </w:r>
          </w:p>
          <w:p w:rsidR="005F6EC6" w:rsidRDefault="00CC6B0E" w:rsidP="00CC6B0E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Постанови Кабінету Міністрів України від 28.03.2018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>№ 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</w:p>
        </w:tc>
      </w:tr>
      <w:tr w:rsidR="002D3003" w:rsidRPr="00ED5991" w:rsidTr="00E70A52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25" w:type="pct"/>
            <w:shd w:val="clear" w:color="auto" w:fill="auto"/>
          </w:tcPr>
          <w:p w:rsidR="002D3003" w:rsidRPr="00CC6B0E" w:rsidRDefault="00CC6B0E" w:rsidP="005F6EC6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C6B0E">
              <w:rPr>
                <w:sz w:val="24"/>
                <w:szCs w:val="24"/>
              </w:rPr>
              <w:t>Знання системи роботи з договорами про медичне обслуговування населення</w:t>
            </w:r>
          </w:p>
        </w:tc>
        <w:tc>
          <w:tcPr>
            <w:tcW w:w="3032" w:type="pct"/>
            <w:shd w:val="clear" w:color="auto" w:fill="auto"/>
          </w:tcPr>
          <w:p w:rsidR="00055168" w:rsidRPr="00CC6B0E" w:rsidRDefault="00CC6B0E" w:rsidP="004C1FE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6B0E">
              <w:rPr>
                <w:sz w:val="24"/>
                <w:szCs w:val="24"/>
              </w:rPr>
              <w:t>Забезпечення здійснення підготовчої роботи для укладення, зміни та припинення договорів про медичне обслуговування населення щодо спеціалізованої медичної допомог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D465EF" w:rsidRPr="002D3003" w:rsidRDefault="000B3060" w:rsidP="002410A2"/>
    <w:sectPr w:rsidR="00D465EF" w:rsidRPr="002D3003" w:rsidSect="002410A2">
      <w:pgSz w:w="11906" w:h="16838"/>
      <w:pgMar w:top="567" w:right="426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539B"/>
    <w:multiLevelType w:val="hybridMultilevel"/>
    <w:tmpl w:val="43045064"/>
    <w:lvl w:ilvl="0" w:tplc="CF36F990">
      <w:start w:val="1"/>
      <w:numFmt w:val="bullet"/>
      <w:lvlText w:val="-"/>
      <w:lvlJc w:val="left"/>
      <w:pPr>
        <w:ind w:left="905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F7B6AD0"/>
    <w:multiLevelType w:val="hybridMultilevel"/>
    <w:tmpl w:val="9E4AE9BE"/>
    <w:lvl w:ilvl="0" w:tplc="CF6ACE5E">
      <w:numFmt w:val="bullet"/>
      <w:lvlText w:val="-"/>
      <w:lvlJc w:val="left"/>
      <w:pPr>
        <w:ind w:left="5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6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7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B3060"/>
    <w:rsid w:val="000E6F1D"/>
    <w:rsid w:val="000F6B0A"/>
    <w:rsid w:val="0016652F"/>
    <w:rsid w:val="00185F86"/>
    <w:rsid w:val="002410A2"/>
    <w:rsid w:val="002D3003"/>
    <w:rsid w:val="005F6EC6"/>
    <w:rsid w:val="00655AC2"/>
    <w:rsid w:val="006C04DB"/>
    <w:rsid w:val="006F141D"/>
    <w:rsid w:val="0070504A"/>
    <w:rsid w:val="00906BE3"/>
    <w:rsid w:val="00924E31"/>
    <w:rsid w:val="00A96878"/>
    <w:rsid w:val="00B725A4"/>
    <w:rsid w:val="00BF0546"/>
    <w:rsid w:val="00CA1712"/>
    <w:rsid w:val="00CB3C06"/>
    <w:rsid w:val="00CC6B0E"/>
    <w:rsid w:val="00D61E36"/>
    <w:rsid w:val="00DE03F8"/>
    <w:rsid w:val="00E70A52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9085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61E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5908</Words>
  <Characters>3368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9</cp:revision>
  <dcterms:created xsi:type="dcterms:W3CDTF">2021-11-03T18:03:00Z</dcterms:created>
  <dcterms:modified xsi:type="dcterms:W3CDTF">2021-11-08T14:52:00Z</dcterms:modified>
</cp:coreProperties>
</file>