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1"/>
        <w:ind w:firstLine="6663"/>
        <w:jc w:val="both"/>
        <w:rPr>
          <w:rFonts w:ascii="Times New Roman" w:hAnsi="Times New Roman"/>
          <w:sz w:val="24"/>
          <w:szCs w:val="24"/>
        </w:rPr>
      </w:pPr>
      <w:bookmarkStart w:id="0" w:name="_GoBack"/>
      <w:bookmarkEnd w:id="0"/>
      <w:r>
        <w:rPr>
          <w:rFonts w:ascii="Times New Roman" w:hAnsi="Times New Roman"/>
          <w:sz w:val="24"/>
          <w:szCs w:val="24"/>
        </w:rPr>
        <w:t>Додаток до повідомлення</w:t>
      </w:r>
    </w:p>
    <w:p>
      <w:pPr>
        <w:pStyle w:val="P1"/>
        <w:ind w:firstLine="6663"/>
        <w:jc w:val="both"/>
        <w:rPr>
          <w:rFonts w:ascii="Times New Roman" w:hAnsi="Times New Roman"/>
          <w:sz w:val="24"/>
          <w:szCs w:val="24"/>
        </w:rPr>
      </w:pP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ФОРМА </w:t>
      </w:r>
    </w:p>
    <w:p>
      <w:pPr>
        <w:jc w:val="center"/>
        <w:rPr>
          <w:rFonts w:ascii="Times New Roman" w:hAnsi="Times New Roman"/>
          <w:b w:val="1"/>
          <w:sz w:val="24"/>
        </w:rPr>
      </w:pPr>
      <w:r>
        <w:rPr>
          <w:rFonts w:ascii="Times New Roman" w:hAnsi="Times New Roman"/>
          <w:b w:val="1"/>
          <w:sz w:val="24"/>
        </w:rPr>
        <w:t>звернення суб</w:t>
      </w:r>
      <w:r>
        <w:rPr>
          <w:rFonts w:ascii="Times New Roman" w:hAnsi="Times New Roman"/>
          <w:b w:val="1"/>
          <w:sz w:val="24"/>
          <w:lang w:val="ru-RU"/>
        </w:rPr>
        <w:t>’</w:t>
      </w:r>
      <w:r>
        <w:rPr>
          <w:rFonts w:ascii="Times New Roman" w:hAnsi="Times New Roman"/>
          <w:b w:val="1"/>
          <w:sz w:val="24"/>
        </w:rPr>
        <w:t>єкта господарювання щодо можливості надання медичних послуг за напрямом «Гістероскопія»</w:t>
      </w:r>
    </w:p>
    <w:p>
      <w:pPr>
        <w:spacing w:lineRule="auto" w:line="240" w:after="0" w:beforeAutospacing="0" w:afterAutospacing="0"/>
        <w:ind w:firstLine="708" w:right="-426"/>
        <w:jc w:val="both"/>
        <w:rPr>
          <w:rFonts w:ascii="Times New Roman" w:hAnsi="Times New Roman"/>
          <w:i w:val="1"/>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p>
      <w:pPr>
        <w:jc w:val="center"/>
      </w:pPr>
    </w:p>
    <w:tbl>
      <w:tblPr>
        <w:tblW w:w="9781" w:type="dxa"/>
        <w:tblInd w:w="-5" w:type="dxa"/>
        <w:tblLook w:val="04A0"/>
      </w:tblPr>
      <w:tblGrid/>
      <w:tr>
        <w:trPr>
          <w:trHeight w:hRule="atLeast" w:val="542"/>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rPr>
                <w:rFonts w:ascii="Times New Roman" w:hAnsi="Times New Roman"/>
                <w:b w:val="1"/>
                <w:bCs w:val="1"/>
                <w:color w:val="000000"/>
                <w:sz w:val="24"/>
                <w:szCs w:val="24"/>
              </w:rPr>
            </w:pPr>
            <w:r>
              <w:rPr>
                <w:rFonts w:ascii="Times New Roman" w:hAnsi="Times New Roman"/>
                <w:b w:val="1"/>
                <w:bCs w:val="1"/>
                <w:color w:val="000000"/>
                <w:sz w:val="24"/>
                <w:szCs w:val="24"/>
              </w:rPr>
              <w:t xml:space="preserve">Назва поля для </w:t>
            </w:r>
            <w:r>
              <w:rPr>
                <w:rFonts w:ascii="Times New Roman" w:hAnsi="Times New Roman"/>
                <w:b w:val="1"/>
                <w:sz w:val="24"/>
                <w:szCs w:val="24"/>
              </w:rPr>
              <w:t>заповнення</w:t>
            </w:r>
          </w:p>
        </w:tc>
        <w:tc>
          <w:tcPr>
            <w:tcW w:w="3402" w:type="dxa"/>
            <w:tcBorders>
              <w:top w:val="single" w:sz="4" w:space="0" w:shadow="0" w:frame="0"/>
              <w:left w:val="single" w:sz="4" w:space="0" w:shadow="0" w:frame="0"/>
              <w:bottom w:val="single" w:sz="4" w:space="0" w:shadow="0" w:frame="0"/>
              <w:right w:val="single" w:sz="4" w:space="0" w:shadow="0" w:frame="0"/>
            </w:tcBorders>
          </w:tcPr>
          <w:p>
            <w:pPr>
              <w:rPr>
                <w:rFonts w:ascii="Times New Roman" w:hAnsi="Times New Roman"/>
                <w:b w:val="1"/>
                <w:bCs w:val="1"/>
                <w:color w:val="000000"/>
                <w:sz w:val="24"/>
                <w:szCs w:val="24"/>
                <w:lang w:val="ru-RU"/>
              </w:rPr>
            </w:pPr>
            <w:r>
              <w:rPr>
                <w:rFonts w:ascii="Times New Roman" w:hAnsi="Times New Roman"/>
                <w:b w:val="1"/>
                <w:bCs w:val="1"/>
                <w:color w:val="000000"/>
                <w:sz w:val="24"/>
                <w:szCs w:val="24"/>
              </w:rPr>
              <w:t>Інформація, зазначена суб</w:t>
            </w:r>
            <w:r>
              <w:rPr>
                <w:rFonts w:ascii="Times New Roman" w:hAnsi="Times New Roman"/>
                <w:b w:val="1"/>
                <w:bCs w:val="1"/>
                <w:color w:val="000000"/>
                <w:sz w:val="24"/>
                <w:szCs w:val="24"/>
                <w:lang w:val="en-US"/>
              </w:rPr>
              <w:t>’</w:t>
            </w:r>
            <w:r>
              <w:rPr>
                <w:rFonts w:ascii="Times New Roman" w:hAnsi="Times New Roman"/>
                <w:b w:val="1"/>
                <w:bCs w:val="1"/>
                <w:color w:val="000000"/>
                <w:sz w:val="24"/>
                <w:szCs w:val="24"/>
                <w:lang w:val="ru-RU"/>
              </w:rPr>
              <w:t>єктом господарювання</w:t>
            </w:r>
          </w:p>
        </w:tc>
      </w:tr>
      <w:tr>
        <w:trPr>
          <w:trHeight w:hRule="atLeast" w:val="412"/>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КОД ЄДРПОУ</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394"/>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Повна назва закладу</w:t>
            </w:r>
          </w:p>
        </w:tc>
        <w:tc>
          <w:tcPr>
            <w:tcW w:w="3402"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ight="116"/>
              <w:rPr>
                <w:rFonts w:ascii="Times New Roman" w:hAnsi="Times New Roman"/>
                <w:color w:val="000000"/>
                <w:sz w:val="24"/>
                <w:szCs w:val="24"/>
                <w:lang w:eastAsia="uk-UA"/>
              </w:rPr>
            </w:pPr>
          </w:p>
        </w:tc>
      </w:tr>
      <w:tr>
        <w:trPr>
          <w:trHeight w:hRule="atLeast" w:val="406"/>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Організаційно правова форма</w:t>
            </w:r>
          </w:p>
        </w:tc>
        <w:tc>
          <w:tcPr>
            <w:tcW w:w="3402"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ight="116"/>
              <w:rPr>
                <w:rFonts w:ascii="Times New Roman" w:hAnsi="Times New Roman"/>
                <w:color w:val="000000"/>
                <w:sz w:val="24"/>
                <w:szCs w:val="24"/>
                <w:lang w:eastAsia="uk-UA"/>
              </w:rPr>
            </w:pPr>
          </w:p>
        </w:tc>
      </w:tr>
      <w:tr>
        <w:trPr>
          <w:trHeight w:hRule="atLeast" w:val="262"/>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Керівник закладу</w:t>
            </w:r>
          </w:p>
        </w:tc>
        <w:tc>
          <w:tcPr>
            <w:tcW w:w="3402"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ight="116"/>
              <w:rPr>
                <w:rFonts w:ascii="Times New Roman" w:hAnsi="Times New Roman"/>
                <w:color w:val="000000"/>
                <w:sz w:val="24"/>
                <w:szCs w:val="24"/>
                <w:lang w:eastAsia="uk-UA"/>
              </w:rPr>
            </w:pPr>
          </w:p>
        </w:tc>
      </w:tr>
      <w:tr>
        <w:trPr>
          <w:trHeight w:hRule="atLeast" w:val="400"/>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sz w:val="24"/>
                <w:szCs w:val="24"/>
                <w:highlight w:val="white"/>
              </w:rPr>
              <w:t>Підстава, відповідно до якої діє підписант договору</w:t>
            </w:r>
            <w:r>
              <w:rPr>
                <w:rFonts w:ascii="Times New Roman" w:hAnsi="Times New Roman"/>
                <w:sz w:val="24"/>
                <w:szCs w:val="24"/>
              </w:rPr>
              <w:t>, ФОП вказує № та дату виписки з ЄДР (вводиться за шаблоном: №__ від____)</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highlight w:val="white"/>
              </w:rPr>
            </w:pPr>
          </w:p>
        </w:tc>
      </w:tr>
      <w:tr>
        <w:trPr>
          <w:trHeight w:hRule="atLeast" w:val="442"/>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Ліцензія на медичну практику</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442"/>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smallCaps w:val="0"/>
                <w:color w:val="000000"/>
                <w:sz w:val="24"/>
                <w:szCs w:val="22"/>
                <w:cs w:val="0"/>
                <w:spacing w:val="0"/>
                <w:w w:val="100"/>
                <w:position w:val="0"/>
                <w:snapToGrid w:val="1"/>
                <w:lang w:eastAsia="uk-UA"/>
              </w:rPr>
              <w:t xml:space="preserve"> Ліцензія на провадження господарської діяльності, пов’язаної з обігом наркотичних засобів, психотропних речовин і прекурсорів (придбання, зберігання, відпуск, використання, знищення) </w:t>
            </w:r>
          </w:p>
        </w:tc>
        <w:tc>
          <w:tcPr>
            <w:tcW w:w="3402"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rPr>
                <w:rFonts w:ascii="Times New Roman" w:hAnsi="Times New Roman"/>
                <w:color w:val="000000"/>
                <w:sz w:val="24"/>
                <w:szCs w:val="24"/>
                <w:lang w:eastAsia="uk-UA"/>
              </w:rPr>
            </w:pPr>
          </w:p>
        </w:tc>
      </w:tr>
      <w:tr>
        <w:trPr>
          <w:trHeight w:hRule="atLeast" w:val="420"/>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IBAN</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420"/>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Строк дії договору</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512"/>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Перелік залучених осіб</w:t>
            </w:r>
          </w:p>
        </w:tc>
        <w:tc>
          <w:tcPr>
            <w:tcW w:w="3402" w:type="dxa"/>
            <w:tcBorders>
              <w:top w:val="single" w:sz="4" w:space="0" w:shadow="0" w:frame="0"/>
              <w:left w:val="single" w:sz="4" w:space="0" w:shadow="0" w:frame="0"/>
              <w:bottom w:val="single" w:sz="4" w:space="0" w:shadow="0" w:frame="0"/>
              <w:right w:val="single" w:sz="4" w:space="0" w:shadow="0" w:frame="0"/>
            </w:tcBorders>
          </w:tcPr>
          <w:p>
            <w:pPr>
              <w:ind w:hanging="142" w:left="540" w:right="116"/>
              <w:jc w:val="both"/>
              <w:rPr>
                <w:rFonts w:ascii="Times New Roman" w:hAnsi="Times New Roman"/>
                <w:b w:val="1"/>
                <w:bCs w:val="1"/>
                <w:color w:val="000000"/>
                <w:sz w:val="24"/>
                <w:szCs w:val="24"/>
              </w:rPr>
            </w:pPr>
          </w:p>
        </w:tc>
      </w:tr>
      <w:tr>
        <w:trPr>
          <w:trHeight w:hRule="atLeast" w:val="526"/>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jc w:val="both"/>
              <w:rPr>
                <w:rFonts w:ascii="Times New Roman" w:hAnsi="Times New Roman"/>
                <w:bCs w:val="1"/>
                <w:color w:val="000000"/>
                <w:sz w:val="24"/>
                <w:szCs w:val="24"/>
              </w:rPr>
            </w:pPr>
            <w:r>
              <w:rPr>
                <w:rFonts w:ascii="Times New Roman" w:hAnsi="Times New Roman"/>
                <w:bCs w:val="1"/>
                <w:color w:val="000000"/>
                <w:sz w:val="24"/>
                <w:szCs w:val="24"/>
              </w:rPr>
              <w:t xml:space="preserve">Коди ЄДРПОУ підрядників. </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ind w:left="540" w:right="116"/>
              <w:jc w:val="both"/>
              <w:rPr>
                <w:rFonts w:ascii="Times New Roman" w:hAnsi="Times New Roman"/>
                <w:bCs w:val="1"/>
                <w:color w:val="000000"/>
                <w:sz w:val="24"/>
                <w:szCs w:val="24"/>
              </w:rPr>
            </w:pPr>
          </w:p>
        </w:tc>
      </w:tr>
      <w:tr>
        <w:trPr>
          <w:trHeight w:hRule="atLeast" w:val="538"/>
        </w:trPr>
        <w:tc>
          <w:tcPr>
            <w:tcW w:w="9781"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Інформація щодо Вимог до організації надання послуги </w:t>
            </w: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sz w:val="24"/>
                <w:szCs w:val="24"/>
                <w:lang w:eastAsia="uk-UA"/>
              </w:rPr>
            </w:pPr>
            <w:r>
              <w:rPr>
                <w:rFonts w:ascii="Times New Roman" w:hAnsi="Times New Roman"/>
                <w:sz w:val="24"/>
                <w:szCs w:val="24"/>
                <w:lang w:eastAsia="uk-UA"/>
              </w:rPr>
              <w:t>Забезпечення фотофіксації (щонайменше 2 знімки, що зберігаються в медичній документації) та/або повної відеофіксації всього дослідження зі зберіганням цифрових фото/відеоматеріалів протягом 2 років.</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lang w:eastAsia="uk-UA"/>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sz w:val="24"/>
                <w:szCs w:val="24"/>
                <w:lang w:eastAsia="uk-UA"/>
              </w:rPr>
            </w:pPr>
            <w:r>
              <w:rPr>
                <w:rFonts w:ascii="Times New Roman" w:hAnsi="Times New Roman"/>
                <w:sz w:val="24"/>
                <w:szCs w:val="24"/>
                <w:lang w:eastAsia="uk-UA"/>
              </w:rPr>
              <w:t>Забезпечення проведення гістологічного дослідження у закладі або на умовах договору підряду</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lang w:eastAsia="uk-UA"/>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sz w:val="24"/>
                <w:szCs w:val="24"/>
                <w:lang w:eastAsia="uk-UA"/>
              </w:rPr>
            </w:pPr>
            <w:r>
              <w:rPr>
                <w:rFonts w:ascii="Times New Roman" w:hAnsi="Times New Roman"/>
                <w:sz w:val="24"/>
                <w:szCs w:val="24"/>
                <w:lang w:eastAsia="uk-UA"/>
              </w:rPr>
              <w:t>Наявність кімнати для відпочинку пацієнток після ендоскопічного дослідження.</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lang w:eastAsia="uk-UA"/>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sz w:val="24"/>
                <w:szCs w:val="24"/>
                <w:lang w:eastAsia="uk-UA"/>
              </w:rPr>
            </w:pPr>
            <w:r>
              <w:rPr>
                <w:rFonts w:ascii="Times New Roman" w:hAnsi="Times New Roman"/>
                <w:sz w:val="24"/>
                <w:szCs w:val="24"/>
                <w:lang w:eastAsia="uk-UA"/>
              </w:rPr>
              <w:t>Взаємодія з іншими надавачами медичних послуг для своєчасного та ефективного надання допомоги пацієнткам.</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lang w:eastAsia="uk-UA"/>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sz w:val="24"/>
                <w:szCs w:val="24"/>
                <w:lang w:eastAsia="uk-UA"/>
              </w:rPr>
            </w:pPr>
            <w:r>
              <w:rPr>
                <w:rFonts w:ascii="Times New Roman" w:hAnsi="Times New Roman"/>
                <w:sz w:val="24"/>
                <w:szCs w:val="24"/>
                <w:lang w:eastAsia="uk-UA"/>
              </w:rPr>
              <w:t xml:space="preserve"> 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lang w:eastAsia="uk-UA"/>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sz w:val="24"/>
                <w:szCs w:val="24"/>
                <w:lang w:eastAsia="uk-UA"/>
              </w:rPr>
            </w:pPr>
            <w:r>
              <w:rPr>
                <w:rFonts w:ascii="Times New Roman" w:hAnsi="Times New Roman"/>
                <w:sz w:val="24"/>
                <w:szCs w:val="24"/>
                <w:lang w:eastAsia="uk-UA"/>
              </w:rPr>
              <w:t xml:space="preserve"> 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коронавірусом SARS-CoV-2).</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lang w:eastAsia="uk-UA"/>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sz w:val="24"/>
                <w:szCs w:val="24"/>
                <w:lang w:eastAsia="uk-UA"/>
              </w:rPr>
            </w:pPr>
            <w:r>
              <w:rPr>
                <w:rFonts w:ascii="Times New Roman" w:hAnsi="Times New Roman"/>
                <w:sz w:val="24"/>
                <w:szCs w:val="24"/>
                <w:lang w:eastAsia="uk-UA"/>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пацієнтки на отримання медичної допомоги необхідного обсягу та належної якості.</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lang w:eastAsia="uk-UA"/>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sz w:val="24"/>
                <w:szCs w:val="24"/>
                <w:lang w:eastAsia="uk-UA"/>
              </w:rPr>
            </w:pPr>
            <w:r>
              <w:rPr>
                <w:rFonts w:ascii="Times New Roman" w:hAnsi="Times New Roman"/>
                <w:sz w:val="24"/>
                <w:szCs w:val="24"/>
                <w:lang w:eastAsia="uk-UA"/>
              </w:rPr>
              <w:t xml:space="preserve"> Забезпечення оцінки стану здоров’я пацієнтки, в тому числі виявлення ознак насильства та дотримання вимог законодавства у сфері протидії насильству. </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lang w:eastAsia="uk-UA"/>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sz w:val="24"/>
                <w:szCs w:val="24"/>
                <w:lang w:eastAsia="uk-UA"/>
              </w:rPr>
            </w:pPr>
            <w:r>
              <w:rPr>
                <w:rFonts w:ascii="Times New Roman" w:hAnsi="Times New Roman"/>
                <w:sz w:val="24"/>
                <w:szCs w:val="24"/>
                <w:lang w:eastAsia="uk-UA"/>
              </w:rPr>
              <w:t xml:space="preserve"> 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lang w:eastAsia="uk-UA"/>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sz w:val="24"/>
                <w:szCs w:val="24"/>
                <w:lang w:eastAsia="uk-UA"/>
              </w:rPr>
            </w:pPr>
            <w:r>
              <w:rPr>
                <w:rFonts w:ascii="Times New Roman" w:hAnsi="Times New Roman"/>
                <w:sz w:val="24"/>
                <w:szCs w:val="24"/>
                <w:lang w:eastAsia="uk-UA"/>
              </w:rPr>
              <w:t>Обов’язкове інформування пацієнта щодо можливості отримання інших необхідних медичних послуг безоплатно за рахунок коштів програми медичних гарантій.</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lang w:eastAsia="uk-UA"/>
              </w:rPr>
            </w:pPr>
          </w:p>
        </w:tc>
      </w:tr>
      <w:tr>
        <w:trPr>
          <w:trHeight w:hRule="atLeast" w:val="365"/>
        </w:trPr>
        <w:tc>
          <w:tcPr>
            <w:tcW w:w="9781"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Інформація щодо Вимоги до переліку обладнання у закладі </w:t>
            </w: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jc w:val="both"/>
              <w:rPr>
                <w:rFonts w:ascii="Times New Roman" w:hAnsi="Times New Roman"/>
                <w:bCs w:val="1"/>
                <w:color w:val="000000"/>
                <w:sz w:val="24"/>
                <w:szCs w:val="24"/>
              </w:rPr>
            </w:pPr>
            <w:r>
              <w:rPr>
                <w:rFonts w:ascii="Times New Roman" w:hAnsi="Times New Roman"/>
                <w:sz w:val="24"/>
                <w:szCs w:val="24"/>
                <w:lang w:eastAsia="uk-UA"/>
              </w:rPr>
              <w:t>Наявність портативного дефібрилятора з функцією синхронізації.</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ind w:left="540" w:right="116"/>
              <w:jc w:val="both"/>
              <w:rPr>
                <w:rFonts w:ascii="Times New Roman" w:hAnsi="Times New Roman"/>
                <w:sz w:val="24"/>
                <w:szCs w:val="24"/>
                <w:lang w:eastAsia="uk-UA"/>
              </w:rPr>
            </w:pPr>
          </w:p>
        </w:tc>
      </w:tr>
      <w:tr>
        <w:trPr>
          <w:trHeight w:hRule="atLeast" w:val="473"/>
        </w:trPr>
        <w:tc>
          <w:tcPr>
            <w:tcW w:w="9781"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sz w:val="24"/>
                <w:szCs w:val="24"/>
                <w:lang w:eastAsia="uk-UA"/>
              </w:rPr>
            </w:pPr>
            <w:r>
              <w:rPr>
                <w:rFonts w:ascii="Times New Roman" w:hAnsi="Times New Roman"/>
                <w:b w:val="1"/>
                <w:bCs w:val="1"/>
                <w:color w:val="000000"/>
                <w:sz w:val="24"/>
                <w:szCs w:val="24"/>
              </w:rPr>
              <w:t xml:space="preserve">Інформація щодо </w:t>
            </w:r>
            <w:r>
              <w:rPr>
                <w:rFonts w:ascii="Times New Roman" w:hAnsi="Times New Roman"/>
                <w:b w:val="1"/>
                <w:color w:val="000000"/>
                <w:sz w:val="24"/>
                <w:szCs w:val="24"/>
              </w:rPr>
              <w:t>запланованої середньомісячної кількості медичних послуг</w:t>
            </w: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sz w:val="24"/>
                <w:szCs w:val="24"/>
                <w:lang w:eastAsia="uk-UA"/>
              </w:rPr>
            </w:pPr>
            <w:r>
              <w:rPr>
                <w:rFonts w:ascii="Times New Roman" w:hAnsi="Times New Roman"/>
                <w:sz w:val="24"/>
                <w:szCs w:val="24"/>
                <w:lang w:eastAsia="uk-UA"/>
              </w:rPr>
              <w:t>Запланована середньомісячна кількість медичних послуг з проведення гістероскопії БЕЗ ПРОВЕДЕННЯ ендоскопічної маніпуляції та/або ендоскопічної операції, передбачених специфікаціями, які заклад готовий надати протягом місяця у 2022році.</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lang w:eastAsia="uk-UA"/>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sz w:val="24"/>
                <w:szCs w:val="24"/>
                <w:lang w:eastAsia="uk-UA"/>
              </w:rPr>
            </w:pPr>
            <w:r>
              <w:rPr>
                <w:rFonts w:ascii="Times New Roman" w:hAnsi="Times New Roman"/>
                <w:sz w:val="24"/>
                <w:szCs w:val="24"/>
                <w:lang w:eastAsia="uk-UA"/>
              </w:rPr>
              <w:t>Запланована середньомісячна кількість медичних послуг з проведення гістероскопії З ПРОВЕДЕННЯМ ендоскопічної маніпуляції та/або ендоскопічної операції, передбачених специфікаціями, які заклад готовий надати протягом місяця у 2022 році.</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lang w:eastAsia="uk-UA"/>
              </w:rPr>
            </w:pPr>
          </w:p>
        </w:tc>
      </w:tr>
      <w:tr>
        <w:trPr>
          <w:trHeight w:hRule="atLeast" w:val="484"/>
        </w:trPr>
        <w:tc>
          <w:tcPr>
            <w:tcW w:w="9781"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Загальна інформація</w:t>
            </w: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ind w:left="540" w:right="116"/>
              <w:jc w:val="both"/>
              <w:rPr>
                <w:rFonts w:ascii="Times New Roman" w:hAnsi="Times New Roman"/>
                <w:bCs w:val="1"/>
                <w:color w:val="000000"/>
                <w:sz w:val="24"/>
                <w:szCs w:val="24"/>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заклад, уповноважені особи та медичні працівники, які будуть залучені до виконання Договору, зареєстровані в електронній системі охорони здоров’я (далі - Система).</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ind w:left="540" w:right="116"/>
              <w:jc w:val="both"/>
              <w:rPr>
                <w:rFonts w:ascii="Times New Roman" w:hAnsi="Times New Roman"/>
                <w:bCs w:val="1"/>
                <w:color w:val="000000"/>
                <w:sz w:val="24"/>
                <w:szCs w:val="24"/>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ind w:left="540" w:right="116"/>
              <w:jc w:val="both"/>
              <w:rPr>
                <w:rFonts w:ascii="Times New Roman" w:hAnsi="Times New Roman"/>
                <w:bCs w:val="1"/>
                <w:color w:val="000000"/>
                <w:sz w:val="24"/>
                <w:szCs w:val="24"/>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ознайомились з умовами закупівлі та специфікацією, визначеними в Повідомленні, і погоджуєтесь на них.</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ind w:left="540" w:right="116"/>
              <w:jc w:val="both"/>
              <w:rPr>
                <w:rFonts w:ascii="Times New Roman" w:hAnsi="Times New Roman"/>
                <w:bCs w:val="1"/>
                <w:color w:val="000000"/>
                <w:sz w:val="24"/>
                <w:szCs w:val="24"/>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ind w:left="540" w:right="116"/>
              <w:jc w:val="both"/>
              <w:rPr>
                <w:rFonts w:ascii="Times New Roman" w:hAnsi="Times New Roman"/>
                <w:bCs w:val="1"/>
                <w:color w:val="000000"/>
                <w:sz w:val="24"/>
                <w:szCs w:val="24"/>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jc w:val="both"/>
              <w:rPr>
                <w:rFonts w:ascii="Times New Roman" w:hAnsi="Times New Roman"/>
                <w:bCs w:val="1"/>
                <w:color w:val="000000"/>
                <w:sz w:val="24"/>
                <w:szCs w:val="24"/>
              </w:rPr>
            </w:pPr>
            <w:r>
              <w:rPr>
                <w:rFonts w:ascii="Times New Roman" w:hAnsi="Times New Roman"/>
                <w:bCs w:val="1"/>
                <w:color w:val="000000"/>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r>
              <w:rPr>
                <w:rFonts w:ascii="Times New Roman" w:hAnsi="Times New Roman"/>
                <w:bCs w:val="1"/>
                <w:color w:val="000000"/>
                <w:sz w:val="24"/>
                <w:szCs w:val="24"/>
                <w:lang w:val="en-US"/>
              </w:rPr>
              <w:t>dohovir</w:t>
            </w:r>
            <w:r>
              <w:rPr>
                <w:rFonts w:ascii="Times New Roman" w:hAnsi="Times New Roman"/>
                <w:bCs w:val="1"/>
                <w:color w:val="000000"/>
                <w:sz w:val="24"/>
                <w:szCs w:val="24"/>
              </w:rPr>
              <w:t>@</w:t>
            </w:r>
            <w:r>
              <w:rPr>
                <w:rFonts w:ascii="Times New Roman" w:hAnsi="Times New Roman"/>
                <w:bCs w:val="1"/>
                <w:color w:val="000000"/>
                <w:sz w:val="24"/>
                <w:szCs w:val="24"/>
                <w:lang w:val="en-US"/>
              </w:rPr>
              <w:t>nszy</w:t>
            </w:r>
            <w:r>
              <w:rPr>
                <w:rFonts w:ascii="Times New Roman" w:hAnsi="Times New Roman"/>
                <w:bCs w:val="1"/>
                <w:color w:val="000000"/>
                <w:sz w:val="24"/>
                <w:szCs w:val="24"/>
              </w:rPr>
              <w:t>.</w:t>
            </w:r>
            <w:r>
              <w:rPr>
                <w:rFonts w:ascii="Times New Roman" w:hAnsi="Times New Roman"/>
                <w:bCs w:val="1"/>
                <w:color w:val="000000"/>
                <w:sz w:val="24"/>
                <w:szCs w:val="24"/>
                <w:lang w:val="en-US"/>
              </w:rPr>
              <w:t>gov</w:t>
            </w:r>
            <w:r>
              <w:rPr>
                <w:rFonts w:ascii="Times New Roman" w:hAnsi="Times New Roman"/>
                <w:bCs w:val="1"/>
                <w:color w:val="000000"/>
                <w:sz w:val="24"/>
                <w:szCs w:val="24"/>
              </w:rPr>
              <w:t>.</w:t>
            </w:r>
            <w:r>
              <w:rPr>
                <w:rFonts w:ascii="Times New Roman" w:hAnsi="Times New Roman"/>
                <w:bCs w:val="1"/>
                <w:color w:val="000000"/>
                <w:sz w:val="24"/>
                <w:szCs w:val="24"/>
                <w:lang w:val="en-US"/>
              </w:rPr>
              <w:t>ua</w:t>
            </w:r>
            <w:r>
              <w:rPr>
                <w:rFonts w:ascii="Times New Roman" w:hAnsi="Times New Roman"/>
                <w:bCs w:val="1"/>
                <w:color w:val="000000"/>
                <w:sz w:val="24"/>
                <w:szCs w:val="24"/>
              </w:rPr>
              <w:t xml:space="preserve"> з одночасним внесенням таких змін у Систему.</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ind w:left="540" w:right="116"/>
              <w:jc w:val="both"/>
              <w:rPr>
                <w:rFonts w:ascii="Times New Roman" w:hAnsi="Times New Roman"/>
                <w:bCs w:val="1"/>
                <w:color w:val="000000"/>
                <w:sz w:val="24"/>
                <w:szCs w:val="24"/>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402" w:type="dxa"/>
            <w:tcBorders>
              <w:top w:val="single" w:sz="4" w:space="0" w:shadow="0" w:frame="0"/>
              <w:left w:val="single" w:sz="4" w:space="0" w:shadow="0" w:frame="0"/>
              <w:bottom w:val="single" w:sz="4" w:space="0" w:shadow="0" w:frame="0"/>
              <w:right w:val="single" w:sz="4" w:space="0" w:shadow="0" w:frame="0"/>
            </w:tcBorders>
          </w:tcPr>
          <w:p>
            <w:pPr>
              <w:ind w:left="360" w:right="116"/>
              <w:jc w:val="both"/>
              <w:rPr>
                <w:rFonts w:ascii="Times New Roman" w:hAnsi="Times New Roman"/>
                <w:bCs w:val="1"/>
                <w:color w:val="000000"/>
                <w:sz w:val="24"/>
                <w:szCs w:val="24"/>
              </w:rPr>
            </w:pPr>
          </w:p>
        </w:tc>
      </w:tr>
      <w:tr>
        <w:trPr>
          <w:trHeight w:hRule="atLeast" w:val="359"/>
        </w:trPr>
        <w:tc>
          <w:tcPr>
            <w:tcW w:w="9781"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ІНФОРМАЦІЯ</w:t>
            </w:r>
            <w:r>
              <w:rPr>
                <w:rFonts w:ascii="Times New Roman" w:hAnsi="Times New Roman"/>
                <w:bCs w:val="1"/>
                <w:color w:val="000000"/>
                <w:sz w:val="24"/>
                <w:szCs w:val="24"/>
              </w:rPr>
              <w:t> </w:t>
            </w:r>
            <w:r>
              <w:rPr>
                <w:rFonts w:ascii="Times New Roman" w:hAnsi="Times New Roman"/>
                <w:b w:val="1"/>
                <w:bCs w:val="1"/>
                <w:color w:val="000000"/>
                <w:sz w:val="24"/>
                <w:szCs w:val="24"/>
              </w:rPr>
              <w:t>ПРО МІСЦЯ НАДАННЯ ПОСЛУГ(застосовуються для кожного МНП окремо</w:t>
            </w:r>
            <w:r>
              <w:rPr>
                <w:rFonts w:ascii="Times New Roman" w:hAnsi="Times New Roman"/>
                <w:b w:val="1"/>
                <w:color w:val="000000"/>
                <w:sz w:val="24"/>
              </w:rPr>
              <w:t>)</w:t>
            </w:r>
          </w:p>
        </w:tc>
      </w:tr>
      <w:tr>
        <w:trPr>
          <w:trHeight w:hRule="atLeast" w:val="466"/>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jc w:val="both"/>
              <w:rPr>
                <w:rFonts w:ascii="Times New Roman" w:hAnsi="Times New Roman"/>
                <w:bCs w:val="1"/>
                <w:color w:val="000000"/>
                <w:sz w:val="24"/>
                <w:szCs w:val="24"/>
              </w:rPr>
            </w:pPr>
            <w:r>
              <w:rPr>
                <w:rFonts w:ascii="Times New Roman" w:hAnsi="Times New Roman"/>
                <w:bCs w:val="1"/>
                <w:color w:val="000000"/>
                <w:sz w:val="24"/>
                <w:szCs w:val="24"/>
              </w:rPr>
              <w:t>Місце надання послуг:</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ind w:left="540" w:right="116"/>
              <w:jc w:val="both"/>
              <w:rPr>
                <w:rFonts w:ascii="Times New Roman" w:hAnsi="Times New Roman"/>
                <w:bCs w:val="1"/>
                <w:color w:val="000000"/>
                <w:sz w:val="24"/>
                <w:szCs w:val="24"/>
              </w:rPr>
            </w:pPr>
          </w:p>
        </w:tc>
      </w:tr>
      <w:tr>
        <w:trPr>
          <w:trHeight w:hRule="atLeast" w:val="402"/>
        </w:trPr>
        <w:tc>
          <w:tcPr>
            <w:tcW w:w="9781"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Вимоги до спеціалізації та кількості фахівців у закладі</w:t>
            </w: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jc w:val="both"/>
              <w:rPr>
                <w:rFonts w:ascii="Times New Roman" w:hAnsi="Times New Roman"/>
                <w:bCs w:val="1"/>
                <w:color w:val="000000"/>
                <w:sz w:val="24"/>
                <w:szCs w:val="24"/>
              </w:rPr>
            </w:pPr>
            <w:r>
              <w:rPr>
                <w:rFonts w:ascii="Times New Roman" w:hAnsi="Times New Roman"/>
                <w:sz w:val="24"/>
                <w:szCs w:val="24"/>
                <w:lang w:eastAsia="uk-UA"/>
              </w:rPr>
              <w:t>Лікар-анестезіолог – щонайменше одна особа, яка працює за основним місцем роботи або за сумісництвом у цьому закладі.</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ind w:left="540" w:right="116"/>
              <w:jc w:val="both"/>
              <w:rPr>
                <w:rFonts w:ascii="Times New Roman" w:hAnsi="Times New Roman"/>
                <w:sz w:val="24"/>
                <w:szCs w:val="24"/>
                <w:lang w:eastAsia="uk-UA"/>
              </w:rPr>
            </w:pPr>
          </w:p>
        </w:tc>
      </w:tr>
      <w:tr>
        <w:trPr>
          <w:trHeight w:hRule="atLeast" w:val="572"/>
        </w:trPr>
        <w:tc>
          <w:tcPr>
            <w:tcW w:w="9781"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sz w:val="24"/>
                <w:szCs w:val="24"/>
                <w:lang w:eastAsia="uk-UA"/>
              </w:rPr>
            </w:pPr>
            <w:r>
              <w:rPr>
                <w:rFonts w:ascii="Times New Roman" w:hAnsi="Times New Roman"/>
                <w:b w:val="1"/>
                <w:sz w:val="24"/>
                <w:szCs w:val="24"/>
                <w:lang w:eastAsia="uk-UA"/>
              </w:rPr>
              <w:t>Вимоги до спеціалізації та кількості фахівців за кожним МНП</w:t>
            </w: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sz w:val="24"/>
                <w:szCs w:val="24"/>
                <w:lang w:eastAsia="uk-UA"/>
              </w:rPr>
            </w:pPr>
            <w:r>
              <w:rPr>
                <w:rFonts w:ascii="Times New Roman" w:hAnsi="Times New Roman"/>
                <w:sz w:val="24"/>
                <w:szCs w:val="24"/>
                <w:lang w:eastAsia="uk-UA"/>
              </w:rPr>
              <w:t xml:space="preserve">Лікар-акушер-гінеколог та/або лікар-гінеколог-онколог – щонайменше одна особа з даного переліку, яка працює за основним місцем роботи або за сумісництвом </w:t>
            </w:r>
            <w:r>
              <w:rPr>
                <w:rFonts w:ascii="Times New Roman" w:hAnsi="Times New Roman"/>
                <w:sz w:val="24"/>
                <w:lang w:eastAsia="uk-UA"/>
              </w:rPr>
              <w:t>за кожним МНП.</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lang w:eastAsia="uk-UA"/>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sz w:val="24"/>
                <w:szCs w:val="24"/>
                <w:lang w:eastAsia="uk-UA"/>
              </w:rPr>
            </w:pPr>
            <w:r>
              <w:rPr>
                <w:rFonts w:ascii="Times New Roman" w:hAnsi="Times New Roman"/>
                <w:sz w:val="24"/>
                <w:szCs w:val="24"/>
                <w:lang w:eastAsia="uk-UA"/>
              </w:rPr>
              <w:t xml:space="preserve">Сестра медична – щонайменше одна особа, яка працює за основним місцем роботи або за сумісництвом </w:t>
            </w:r>
            <w:r>
              <w:rPr>
                <w:rFonts w:ascii="Times New Roman" w:hAnsi="Times New Roman"/>
                <w:sz w:val="24"/>
                <w:lang w:eastAsia="uk-UA"/>
              </w:rPr>
              <w:t>за кожним МНП.</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sz w:val="24"/>
                <w:szCs w:val="24"/>
                <w:lang w:eastAsia="uk-UA"/>
              </w:rPr>
            </w:pPr>
          </w:p>
        </w:tc>
      </w:tr>
      <w:tr>
        <w:trPr>
          <w:trHeight w:hRule="atLeast" w:val="519"/>
        </w:trPr>
        <w:tc>
          <w:tcPr>
            <w:tcW w:w="9781"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Вимоги до переліку обладнання</w:t>
            </w:r>
            <w:r>
              <w:rPr>
                <w:rFonts w:ascii="Times New Roman" w:hAnsi="Times New Roman"/>
                <w:b w:val="1"/>
                <w:color w:val="000000"/>
                <w:sz w:val="24"/>
              </w:rPr>
              <w:t xml:space="preserve"> </w:t>
            </w:r>
            <w:r>
              <w:rPr>
                <w:rFonts w:ascii="Times New Roman" w:hAnsi="Times New Roman"/>
                <w:sz w:val="24"/>
                <w:lang w:eastAsia="uk-UA"/>
              </w:rPr>
              <w:t>за кожним МНП</w:t>
            </w:r>
          </w:p>
        </w:tc>
      </w:tr>
      <w:tr>
        <w:trPr>
          <w:trHeight w:hRule="atLeast" w:val="555"/>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відеогістероскоп;</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555"/>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ендоскопічні інструменти;</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555"/>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відеопроцесор;</w:t>
            </w:r>
          </w:p>
        </w:tc>
        <w:tc>
          <w:tcPr>
            <w:tcW w:w="3402"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ight="116"/>
              <w:rPr>
                <w:rFonts w:ascii="Times New Roman" w:hAnsi="Times New Roman"/>
                <w:color w:val="000000"/>
                <w:sz w:val="24"/>
                <w:szCs w:val="24"/>
                <w:lang w:eastAsia="uk-UA"/>
              </w:rPr>
            </w:pPr>
          </w:p>
        </w:tc>
      </w:tr>
      <w:tr>
        <w:trPr>
          <w:trHeight w:hRule="atLeast" w:val="555"/>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24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монітор;</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240" w:beforeAutospacing="0" w:afterAutospacing="0"/>
              <w:ind w:left="540" w:right="116"/>
              <w:rPr>
                <w:rFonts w:ascii="Times New Roman" w:hAnsi="Times New Roman"/>
                <w:color w:val="000000"/>
                <w:sz w:val="24"/>
                <w:szCs w:val="24"/>
                <w:lang w:eastAsia="uk-UA"/>
              </w:rPr>
            </w:pPr>
          </w:p>
        </w:tc>
      </w:tr>
      <w:tr>
        <w:trPr>
          <w:trHeight w:hRule="atLeast" w:val="555"/>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освітлювач;</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555"/>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автоматичний дозатор лікувальних речовин;</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555"/>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аспіратор (відсмоктувач);</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555"/>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24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система моніторингу фізіологічних показників одного пацієнта (неінвазивний АТ, ЧСС, ЕКГ, SpO2, t);</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240" w:beforeAutospacing="0" w:afterAutospacing="0"/>
              <w:ind w:left="540" w:right="116"/>
              <w:rPr>
                <w:rFonts w:ascii="Times New Roman" w:hAnsi="Times New Roman"/>
                <w:color w:val="000000"/>
                <w:sz w:val="24"/>
                <w:szCs w:val="24"/>
                <w:lang w:eastAsia="uk-UA"/>
              </w:rPr>
            </w:pPr>
          </w:p>
        </w:tc>
      </w:tr>
      <w:tr>
        <w:trPr>
          <w:trHeight w:hRule="atLeast" w:val="555"/>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мішок ручної вентиляції легенів;</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555"/>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ларингоскоп з набором клинків;</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555"/>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матковий зонд;</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555"/>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розширювач Гегара № 3;</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431"/>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дзеркало Сімпсона з підіймачем;</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552"/>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кульові щипці;</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41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кюретка № 1;</w:t>
            </w:r>
          </w:p>
        </w:tc>
        <w:tc>
          <w:tcPr>
            <w:tcW w:w="3402"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ight="116"/>
              <w:rPr>
                <w:rFonts w:ascii="Times New Roman" w:hAnsi="Times New Roman"/>
                <w:color w:val="000000"/>
                <w:sz w:val="24"/>
                <w:szCs w:val="24"/>
                <w:lang w:eastAsia="uk-UA"/>
              </w:rPr>
            </w:pPr>
          </w:p>
        </w:tc>
      </w:tr>
      <w:tr>
        <w:trPr>
          <w:trHeight w:hRule="atLeast" w:val="424"/>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джерело кисню;</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544"/>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термометр безконтактний;</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423"/>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тонометр;</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416"/>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пульсоксиметр;</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419"/>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аптечка для надання невідкладної допомоги</w:t>
            </w:r>
            <w:r>
              <w:rPr>
                <w:rFonts w:ascii="Times New Roman" w:hAnsi="Times New Roman"/>
                <w:color w:val="000000"/>
                <w:sz w:val="24"/>
                <w:lang w:eastAsia="uk-UA"/>
              </w:rPr>
              <w:t>.</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561"/>
        </w:trPr>
        <w:tc>
          <w:tcPr>
            <w:tcW w:w="9781"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spacing w:lineRule="auto" w:line="240" w:after="0" w:beforeAutospacing="0" w:afterAutospacing="0"/>
              <w:ind w:left="360"/>
              <w:rPr>
                <w:rFonts w:ascii="Times New Roman" w:hAnsi="Times New Roman"/>
                <w:b w:val="1"/>
                <w:color w:val="000000"/>
                <w:sz w:val="24"/>
                <w:szCs w:val="24"/>
                <w:lang w:eastAsia="uk-UA"/>
              </w:rPr>
            </w:pPr>
            <w:r>
              <w:rPr>
                <w:rFonts w:ascii="Times New Roman" w:hAnsi="Times New Roman"/>
                <w:b w:val="1"/>
                <w:color w:val="000000"/>
                <w:sz w:val="24"/>
                <w:szCs w:val="24"/>
                <w:lang w:eastAsia="uk-UA"/>
              </w:rPr>
              <w:t>Включення місць надання послуг в ліцензію на медичну практику.</w:t>
            </w: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акушерство та гінекологія та/або онкогінекологія</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 xml:space="preserve"> Наявність ліцензії на провадження господарської діяльності з медичної практики за спеціальністю  анестезіологія</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Наявність ліцензії на провадження господарської діяльності, пов’язаної з обігом наркотичних засобів, психотропних речовин і прекурсорів (придбання, зберігання, відпуск, використання, знищення).</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828"/>
        </w:trPr>
        <w:tc>
          <w:tcPr>
            <w:tcW w:w="637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3"/>
              </w:numPr>
              <w:spacing w:lineRule="auto" w:line="240" w:after="0" w:beforeAutospacing="0" w:afterAutospacing="0"/>
              <w:rPr>
                <w:rFonts w:ascii="Times New Roman" w:hAnsi="Times New Roman"/>
                <w:color w:val="000000"/>
                <w:sz w:val="24"/>
                <w:szCs w:val="24"/>
                <w:lang w:eastAsia="uk-UA"/>
              </w:rPr>
            </w:pPr>
            <w:r>
              <w:rPr>
                <w:rFonts w:ascii="Times New Roman" w:hAnsi="Times New Roman"/>
                <w:color w:val="000000"/>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3402"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ind w:left="540" w:right="116"/>
              <w:rPr>
                <w:rFonts w:ascii="Times New Roman" w:hAnsi="Times New Roman"/>
                <w:color w:val="000000"/>
                <w:sz w:val="24"/>
                <w:szCs w:val="24"/>
                <w:lang w:eastAsia="uk-UA"/>
              </w:rPr>
            </w:pPr>
          </w:p>
        </w:tc>
      </w:tr>
      <w:tr>
        <w:trPr>
          <w:trHeight w:hRule="atLeast" w:val="828"/>
        </w:trPr>
        <w:tc>
          <w:tcPr>
            <w:tcW w:w="9781"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after="0" w:beforeAutospacing="0" w:afterAutospacing="0"/>
              <w:ind w:left="540" w:right="116"/>
              <w:rPr>
                <w:rFonts w:ascii="Times New Roman" w:hAnsi="Times New Roman"/>
                <w:color w:val="000000"/>
                <w:sz w:val="24"/>
                <w:szCs w:val="24"/>
                <w:lang w:eastAsia="uk-UA"/>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pPr>
        <w:jc w:val="both"/>
        <w:rPr>
          <w:rFonts w:ascii="Times New Roman" w:hAnsi="Times New Roman"/>
          <w:sz w:val="24"/>
          <w:szCs w:val="24"/>
        </w:rPr>
      </w:pPr>
    </w:p>
    <w:p>
      <w:pPr>
        <w:pBdr>
          <w:top w:val="none" w:sz="0" w:space="0" w:shadow="0" w:frame="0" w:color="auto"/>
          <w:left w:val="none" w:sz="0" w:space="0" w:shadow="0" w:frame="0" w:color="auto"/>
          <w:bottom w:val="single" w:sz="12" w:space="1" w:shadow="0" w:frame="0" w:color="auto"/>
          <w:right w:val="none" w:sz="0" w:space="0" w:shadow="0" w:frame="0" w:color="auto"/>
          <w:between w:val="none" w:sz="0" w:space="0" w:shadow="0" w:frame="0" w:color="auto"/>
        </w:pBdr>
        <w:ind w:firstLine="567"/>
        <w:jc w:val="both"/>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p>
      <w:pPr>
        <w:jc w:val="center"/>
      </w:pPr>
    </w:p>
    <w:p>
      <w:pPr>
        <w:jc w:val="center"/>
      </w:pPr>
    </w:p>
    <w:sectPr>
      <w:headerReference xmlns:r="http://schemas.openxmlformats.org/officeDocument/2006/relationships" w:type="default" r:id="RelHdr1"/>
      <w:footnotePr/>
      <w:endnotePr/>
      <w:type w:val="nextPage"/>
      <w:pgSz w:w="11906" w:h="16838" w:code="0"/>
      <w:pgMar w:left="1417" w:right="850" w:top="850" w:bottom="850" w:header="708" w:footer="708" w:gutter="0"/>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jc w:val="center"/>
    </w:pPr>
    <w:r>
      <w:fldChar w:fldCharType="begin"/>
    </w:r>
    <w:r>
      <w:instrText xml:space="preserve">PAGE   \* MERGEFORMAT</w:instrText>
    </w:r>
    <w:r>
      <w:fldChar w:fldCharType="separate"/>
    </w:r>
    <w:r>
      <w:rPr>
        <w:noProof w:val="1"/>
        <w:lang w:val="ru-RU"/>
      </w:rPr>
      <w:t>#</w:t>
    </w:r>
    <w:r>
      <w:fldChar w:fldCharType="end"/>
    </w:r>
  </w:p>
  <w:p>
    <w:pPr>
      <w:pStyle w:val="P1"/>
    </w:pPr>
  </w:p>
</w:hdr>
</file>

<file path=word/numbering.xml><?xml version="1.0" encoding="utf-8"?>
<w:numbering xmlns:w="http://schemas.openxmlformats.org/wordprocessingml/2006/main">
  <w:abstractNum w:abstractNumId="0">
    <w:nsid w:val="11FB0ECD"/>
    <w:multiLevelType w:val="hybridMultilevel"/>
    <w:lvl w:ilvl="0" w:tplc="0422000F">
      <w:start w:val="1"/>
      <w:numFmt w:val="decimal"/>
      <w:suff w:val="tab"/>
      <w:lvlText w:val="%1."/>
      <w:lvlJc w:val="left"/>
      <w:pPr>
        <w:ind w:hanging="360" w:left="644"/>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
    <w:nsid w:val="27F221AD"/>
    <w:multiLevelType w:val="hybridMultilevel"/>
    <w:lvl w:ilvl="0" w:tplc="22D2286C">
      <w:start w:val="1"/>
      <w:numFmt w:val="decimal"/>
      <w:suff w:val="space"/>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2">
    <w:nsid w:val="2DB4122F"/>
    <w:multiLevelType w:val="hybridMultilevel"/>
    <w:lvl w:ilvl="0" w:tplc="DFCE9A62">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3">
    <w:nsid w:val="36F76EB4"/>
    <w:multiLevelType w:val="hybridMultilevel"/>
    <w:lvl w:ilvl="0" w:tplc="0422000F">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num w:numId="1">
    <w:abstractNumId w:val="3"/>
  </w:num>
  <w:num w:numId="2">
    <w:abstractNumId w:val="0"/>
  </w:num>
  <w:num w:numId="3">
    <w:abstractNumId w:val="1"/>
  </w:num>
  <w:num w:numId="4">
    <w:abstractNumId w:val="2"/>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er"/>
    <w:basedOn w:val="P0"/>
    <w:link w:val="C4"/>
    <w:pPr>
      <w:tabs>
        <w:tab w:val="center" w:pos="4819" w:leader="none"/>
        <w:tab w:val="right" w:pos="9639" w:leader="none"/>
      </w:tabs>
      <w:spacing w:lineRule="auto" w:line="240" w:after="0" w:beforeAutospacing="0" w:afterAutospacing="0"/>
    </w:pPr>
    <w:rPr/>
  </w:style>
  <w:style w:type="paragraph" w:styleId="P2">
    <w:name w:val="footer"/>
    <w:basedOn w:val="P0"/>
    <w:link w:val="C5"/>
    <w:pPr>
      <w:tabs>
        <w:tab w:val="center" w:pos="4819" w:leader="none"/>
        <w:tab w:val="right" w:pos="9639"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footnote text"/>
    <w:link w:val="C7"/>
    <w:semiHidden/>
    <w:pPr>
      <w:spacing w:lineRule="auto" w:line="240" w:after="0" w:beforeAutospacing="0" w:afterAutospacing="0"/>
    </w:pPr>
    <w:rPr>
      <w:sz w:val="20"/>
      <w:szCs w:val="20"/>
    </w:rPr>
  </w:style>
  <w:style w:type="paragraph" w:styleId="P5">
    <w:name w:val="endnote text"/>
    <w:link w:val="C9"/>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character" w:styleId="C4">
    <w:name w:val="Верхний колонтитул Знак"/>
    <w:basedOn w:val="C0"/>
    <w:link w:val="P1"/>
    <w:rPr/>
  </w:style>
  <w:style w:type="character" w:styleId="C5">
    <w:name w:val="Нижний колонтитул Знак"/>
    <w:basedOn w:val="C0"/>
    <w:link w:val="P2"/>
    <w:rPr/>
  </w:style>
  <w:style w:type="character" w:styleId="C6">
    <w:name w:val="footnote reference"/>
    <w:semiHidden/>
    <w:rPr>
      <w:vertAlign w:val="superscript"/>
    </w:rPr>
  </w:style>
  <w:style w:type="character" w:styleId="C7">
    <w:name w:val="Текст сноски Знак"/>
    <w:link w:val="P4"/>
    <w:semiHidden/>
    <w:rPr>
      <w:sz w:val="20"/>
      <w:szCs w:val="20"/>
    </w:rPr>
  </w:style>
  <w:style w:type="character" w:styleId="C8">
    <w:name w:val="endnote reference"/>
    <w:semiHidden/>
    <w:rPr>
      <w:vertAlign w:val="superscript"/>
    </w:rPr>
  </w:style>
  <w:style w:type="character" w:styleId="C9">
    <w:name w:val="Текст концевой сноски Знак"/>
    <w:link w:val="P5"/>
    <w:semiHidden/>
    <w:rPr>
      <w:sz w:val="20"/>
      <w:szCs w:val="20"/>
    </w:rPr>
  </w:style>
  <w:style w:type="character" w:styleId="C10">
    <w:name w:val="Footnote Text Char"/>
    <w:semiHidden/>
    <w:rPr>
      <w:sz w:val="20"/>
      <w:szCs w:val="20"/>
    </w:rPr>
  </w:style>
  <w:style w:type="character" w:styleId="C11">
    <w:name w:val="Endnote Text Char"/>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b520a-cdf1-4458-987c-3412ac1ce5bf}">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Слободянюк Ірина Богданівна</dc:creator>
  <dcterms:created xsi:type="dcterms:W3CDTF">2021-11-23T10:23:00Z</dcterms:created>
  <cp:lastModifiedBy>pool-iis</cp:lastModifiedBy>
  <dcterms:modified xsi:type="dcterms:W3CDTF">2021-11-24T15:42:04Z</dcterms:modified>
  <cp:revision>6</cp:revision>
</cp:coreProperties>
</file>