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894"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ОГОЛОШЕННЯ </w:t>
        <w:br/>
        <w:t xml:space="preserve">про укладення договорів про медичне обслуговування населення за програмою медичних гарантій щодо  надання медичних послуг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Колоноскопія</w:t>
      </w:r>
      <w:r>
        <w:rPr>
          <w:rFonts w:ascii="Times New Roman" w:hAnsi="Times New Roman" w:cs="Times New Roman" w:eastAsia="Times New Roman"/>
          <w:b/>
          <w:color w:val="auto"/>
          <w:spacing w:val="0"/>
          <w:position w:val="0"/>
          <w:sz w:val="24"/>
          <w:shd w:fill="FFFFFF" w:val="clear"/>
        </w:rPr>
        <w:t xml:space="preserve">» </w:t>
      </w:r>
    </w:p>
    <w:p>
      <w:pPr>
        <w:spacing w:before="0" w:after="0" w:line="240"/>
        <w:ind w:right="-894"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від 10.02.2020 року </w:t>
      </w:r>
    </w:p>
    <w:p>
      <w:pPr>
        <w:spacing w:before="0" w:after="0" w:line="25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56"/>
        <w:ind w:right="-89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FFFFFF" w:val="clear"/>
        </w:rPr>
        <w:t xml:space="preserve">Подання пропозицій та їх розгляд</w:t>
      </w:r>
    </w:p>
    <w:p>
      <w:pPr>
        <w:numPr>
          <w:ilvl w:val="0"/>
          <w:numId w:val="4"/>
        </w:numPr>
        <w:spacing w:before="0" w:after="0" w:line="256"/>
        <w:ind w:right="-894"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 подання пропозиції спливає </w:t>
      </w:r>
      <w:r>
        <w:rPr>
          <w:rFonts w:ascii="Times New Roman" w:hAnsi="Times New Roman" w:cs="Times New Roman" w:eastAsia="Times New Roman"/>
          <w:b/>
          <w:color w:val="auto"/>
          <w:spacing w:val="0"/>
          <w:position w:val="0"/>
          <w:sz w:val="24"/>
          <w:shd w:fill="auto" w:val="clear"/>
        </w:rPr>
        <w:t xml:space="preserve">о 18 годині 00 хвилин за київським часом 28 лютого 2020 року</w:t>
      </w:r>
      <w:r>
        <w:rPr>
          <w:rFonts w:ascii="Times New Roman" w:hAnsi="Times New Roman" w:cs="Times New Roman" w:eastAsia="Times New Roman"/>
          <w:color w:val="auto"/>
          <w:spacing w:val="0"/>
          <w:position w:val="0"/>
          <w:sz w:val="24"/>
          <w:shd w:fill="auto" w:val="clear"/>
        </w:rPr>
        <w:t xml:space="preserve">. </w:t>
      </w:r>
    </w:p>
    <w:p>
      <w:pPr>
        <w:spacing w:before="0" w:after="0" w:line="256"/>
        <w:ind w:right="-894"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Пропозиції на укладення договору, у тому числі з усунутими недоліками (повторні), подані після закінчення строку подання, не розглядаються.</w:t>
      </w:r>
    </w:p>
    <w:p>
      <w:pPr>
        <w:spacing w:before="0" w:after="0" w:line="256"/>
        <w:ind w:right="-894"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Заявник подає до НСЗУ пропозицію (заяву та додатки до неї) в електронній формі шляхом заповнення електронних полів.</w:t>
      </w: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Суб’єкт господарювання, який бажає укласти договір з НСЗУ на визначених в оголошенні умовах, до подання пропозиції повинен забезпечити внесення до електронної системи охорони здоров’я актуальної інформації про:</w:t>
      </w:r>
    </w:p>
    <w:p>
      <w:pPr>
        <w:spacing w:before="0" w:after="0" w:line="240"/>
        <w:ind w:right="-894"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суб’єкт господарювання, місця надання ним медичних послуг та медичне обладнання, зазначене в оголошенні;</w:t>
      </w:r>
    </w:p>
    <w:p>
      <w:pPr>
        <w:spacing w:before="0" w:after="0" w:line="240"/>
        <w:ind w:right="-894"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pPr>
        <w:spacing w:before="0" w:after="0" w:line="240"/>
        <w:ind w:right="-894"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суб’єкти господарювання, які будуть залучені до виконання договору (підрядники);</w:t>
      </w:r>
    </w:p>
    <w:p>
      <w:pPr>
        <w:spacing w:before="0" w:after="0" w:line="240"/>
        <w:ind w:right="-894"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уповноважених осіб та медичних працівників, які будуть залучені до укладення або виконання договору.</w:t>
      </w:r>
    </w:p>
    <w:p>
      <w:pPr>
        <w:spacing w:before="0" w:after="0" w:line="240"/>
        <w:ind w:right="-894"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УВАГА:</w:t>
      </w:r>
      <w:r>
        <w:rPr>
          <w:rFonts w:ascii="Times New Roman" w:hAnsi="Times New Roman" w:cs="Times New Roman" w:eastAsia="Times New Roman"/>
          <w:color w:val="auto"/>
          <w:spacing w:val="0"/>
          <w:position w:val="0"/>
          <w:sz w:val="24"/>
          <w:u w:val="single"/>
          <w:shd w:fill="FFFFFF" w:val="clear"/>
        </w:rPr>
        <w:t xml:space="preserve"> </w:t>
      </w:r>
      <w:r>
        <w:rPr>
          <w:rFonts w:ascii="Times New Roman" w:hAnsi="Times New Roman" w:cs="Times New Roman" w:eastAsia="Times New Roman"/>
          <w:color w:val="auto"/>
          <w:spacing w:val="0"/>
          <w:position w:val="0"/>
          <w:sz w:val="24"/>
          <w:shd w:fill="FFFFFF" w:val="clear"/>
        </w:rPr>
        <w:t xml:space="preserve">У разі коли після подання пропозиції зазначена інформація змінюється, суб’єкт господарювання повинен </w:t>
      </w:r>
      <w:r>
        <w:rPr>
          <w:rFonts w:ascii="Times New Roman" w:hAnsi="Times New Roman" w:cs="Times New Roman" w:eastAsia="Times New Roman"/>
          <w:b/>
          <w:color w:val="auto"/>
          <w:spacing w:val="0"/>
          <w:position w:val="0"/>
          <w:sz w:val="24"/>
          <w:u w:val="single"/>
          <w:shd w:fill="FFFFFF" w:val="clear"/>
        </w:rPr>
        <w:t xml:space="preserve">у той же день</w:t>
      </w:r>
      <w:r>
        <w:rPr>
          <w:rFonts w:ascii="Times New Roman" w:hAnsi="Times New Roman" w:cs="Times New Roman" w:eastAsia="Times New Roman"/>
          <w:color w:val="auto"/>
          <w:spacing w:val="0"/>
          <w:position w:val="0"/>
          <w:sz w:val="24"/>
          <w:shd w:fill="FFFFFF" w:val="clear"/>
        </w:rPr>
        <w:t xml:space="preserve"> внести відповідні зміни до електронної системи охорони здоров’я.</w:t>
      </w: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Примітка:</w:t>
      </w:r>
      <w:r>
        <w:rPr>
          <w:rFonts w:ascii="Times New Roman" w:hAnsi="Times New Roman" w:cs="Times New Roman" w:eastAsia="Times New Roman"/>
          <w:color w:val="auto"/>
          <w:spacing w:val="0"/>
          <w:position w:val="0"/>
          <w:sz w:val="24"/>
          <w:shd w:fill="FFFFFF" w:val="clear"/>
        </w:rPr>
        <w:t xml:space="preserve"> внесення до електронної системи охорони здоров’я актуальної інформації про медичне обладнання, визначене в цьому Оголошенні, є обов’язковим за умови наявності відповідної технічної можливості в електронній системі охорони здоров’я.</w:t>
      </w:r>
    </w:p>
    <w:p>
      <w:pPr>
        <w:spacing w:before="0" w:after="0" w:line="256"/>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НСЗУ розглядає пропозиції про укладення договору  до </w:t>
      </w:r>
      <w:r>
        <w:rPr>
          <w:rFonts w:ascii="Times New Roman" w:hAnsi="Times New Roman" w:cs="Times New Roman" w:eastAsia="Times New Roman"/>
          <w:b/>
          <w:color w:val="auto"/>
          <w:spacing w:val="0"/>
          <w:position w:val="0"/>
          <w:sz w:val="24"/>
          <w:u w:val="single"/>
          <w:shd w:fill="auto" w:val="clear"/>
        </w:rPr>
        <w:t xml:space="preserve">17 березня 2020 року включно</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894" w:left="0" w:firstLine="709"/>
        <w:jc w:val="center"/>
        <w:rPr>
          <w:rFonts w:ascii="Times New Roman" w:hAnsi="Times New Roman" w:cs="Times New Roman" w:eastAsia="Times New Roman"/>
          <w:b/>
          <w:color w:val="auto"/>
          <w:spacing w:val="0"/>
          <w:position w:val="0"/>
          <w:sz w:val="24"/>
          <w:shd w:fill="FFFFFF" w:val="clear"/>
        </w:rPr>
      </w:pPr>
    </w:p>
    <w:p>
      <w:pPr>
        <w:spacing w:before="0" w:after="0" w:line="240"/>
        <w:ind w:right="-894" w:left="0" w:firstLine="709"/>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Умови закупівлі медичних послуг, які будуть надаватись за Договором </w:t>
      </w:r>
    </w:p>
    <w:p>
      <w:pPr>
        <w:spacing w:before="0" w:after="0" w:line="240"/>
        <w:ind w:right="-894"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pPr>
        <w:spacing w:before="0" w:after="0" w:line="276"/>
        <w:ind w:right="-894"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Умови надання послуги: </w:t>
      </w:r>
      <w:r>
        <w:rPr>
          <w:rFonts w:ascii="Times New Roman" w:hAnsi="Times New Roman" w:cs="Times New Roman" w:eastAsia="Times New Roman"/>
          <w:b/>
          <w:color w:val="auto"/>
          <w:spacing w:val="0"/>
          <w:position w:val="0"/>
          <w:sz w:val="24"/>
          <w:shd w:fill="FFFFFF" w:val="clear"/>
        </w:rPr>
        <w:t xml:space="preserve">амбулаторно.</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Підстави надання послуги:</w:t>
      </w:r>
      <w:r>
        <w:rPr>
          <w:rFonts w:ascii="Times New Roman" w:hAnsi="Times New Roman" w:cs="Times New Roman" w:eastAsia="Times New Roman"/>
          <w:color w:val="auto"/>
          <w:spacing w:val="0"/>
          <w:position w:val="0"/>
          <w:sz w:val="24"/>
          <w:shd w:fill="FFFFFF" w:val="clear"/>
        </w:rPr>
        <w:t xml:space="preserve"> направлення лікаря з надання ПМД, з яким укладено декларацію про вибір лікаря, або лікуючого лікаря; вік пацієнта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від 40 років і старше.</w:t>
      </w:r>
    </w:p>
    <w:p>
      <w:pPr>
        <w:spacing w:before="0" w:after="0" w:line="276"/>
        <w:ind w:right="-894"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Вимоги до організації надання послуги:</w:t>
      </w:r>
    </w:p>
    <w:p>
      <w:pPr>
        <w:numPr>
          <w:ilvl w:val="0"/>
          <w:numId w:val="13"/>
        </w:num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Забезпечення фотофіксації обстеження або відеозапис втручання зі зберіганням цифрових фото/відеоматеріалів протягом 2 років:</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нижньої частини rectum на 2 cм вище від анального сфінктера;</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середньої частини сигмоподібної кишки;</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низхідної ободової кишки нижче селезінкового вигину;</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поперечно-ободової кишки після селезінкової вигину;</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поперечно-ободової кишки перед печінковим вигином;</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висхідної ободової кишки нижче печінкового вигину;</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термінального відділу тонкої кишки;</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ілеоцекального клапану;</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сліпої кишки, з візуалізацією отвору червоподібного відростка;</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огляду ректосигмоїдного вигину в інверсії (при технічній можливості);</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огляду нижньоампулярного відділу прямої кишки в інверсії (при технічній можливості);</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локальних змін слизової оболонки та всіх утворень (поліпів, виразок, пухлин тощо.</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Забезпечення проведення гістологічного дослідження у закладі або на умовах договору підряду.</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76"/>
        <w:ind w:right="-894"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Вимоги до спеціалізації та кількості фахівців:</w:t>
      </w:r>
    </w:p>
    <w:p>
      <w:pPr>
        <w:numPr>
          <w:ilvl w:val="0"/>
          <w:numId w:val="15"/>
        </w:num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Лікар-ендоскопіст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одна особа.</w:t>
      </w:r>
    </w:p>
    <w:p>
      <w:pPr>
        <w:numPr>
          <w:ilvl w:val="0"/>
          <w:numId w:val="15"/>
        </w:num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Лікар-анестезіолог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одна особа.</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76"/>
        <w:ind w:right="-894"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Вимоги до переліку обладнання:</w:t>
      </w:r>
    </w:p>
    <w:p>
      <w:pPr>
        <w:numPr>
          <w:ilvl w:val="0"/>
          <w:numId w:val="17"/>
        </w:num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 місцем надання послуги:</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відеоколоноскоп;</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ендоскопічні інструменти;</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відеопроцесор;</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монітор;</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освітлювач;</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автоматичний дозатор лікувальних речовин;</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аспіратор(відсмоктувач);</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монітор пацієнта (ЧСС, ЕКГ, АТ, SpO2);</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дихальний мішок типу Амбу з кисневою трубкою;</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ларингоскоп, ендотрахеальні (інтубаційні) трубки; </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джерело кисню.</w:t>
      </w:r>
    </w:p>
    <w:p>
      <w:p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76"/>
        <w:ind w:right="-894"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Інші вимоги:</w:t>
      </w:r>
    </w:p>
    <w:p>
      <w:pPr>
        <w:numPr>
          <w:ilvl w:val="0"/>
          <w:numId w:val="19"/>
        </w:numPr>
        <w:spacing w:before="0" w:after="0" w:line="276"/>
        <w:ind w:right="-894"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pPr>
        <w:spacing w:before="0" w:after="0" w:line="276"/>
        <w:ind w:right="-894"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Подання даних до електронної системи охорони здоров'я на постійній основі.</w:t>
      </w:r>
    </w:p>
    <w:p>
      <w:pPr>
        <w:spacing w:before="0" w:after="0" w:line="276"/>
        <w:ind w:right="-894" w:left="0" w:firstLine="709"/>
        <w:jc w:val="center"/>
        <w:rPr>
          <w:rFonts w:ascii="Times New Roman" w:hAnsi="Times New Roman" w:cs="Times New Roman" w:eastAsia="Times New Roman"/>
          <w:b/>
          <w:color w:val="auto"/>
          <w:spacing w:val="0"/>
          <w:position w:val="0"/>
          <w:sz w:val="24"/>
          <w:shd w:fill="auto" w:val="clear"/>
        </w:rPr>
      </w:pPr>
    </w:p>
    <w:p>
      <w:pPr>
        <w:spacing w:before="0" w:after="0" w:line="276"/>
        <w:ind w:right="-894" w:left="0" w:firstLine="709"/>
        <w:jc w:val="center"/>
        <w:rPr>
          <w:rFonts w:ascii="Times New Roman" w:hAnsi="Times New Roman" w:cs="Times New Roman" w:eastAsia="Times New Roman"/>
          <w:b/>
          <w:color w:val="auto"/>
          <w:spacing w:val="0"/>
          <w:position w:val="0"/>
          <w:sz w:val="24"/>
          <w:shd w:fill="auto" w:val="clear"/>
        </w:rPr>
      </w:pPr>
    </w:p>
    <w:p>
      <w:pPr>
        <w:spacing w:before="0" w:after="0" w:line="276"/>
        <w:ind w:right="-894"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 медичних послуг, які будуть надаватися за Договором (Специфікація) </w:t>
      </w:r>
    </w:p>
    <w:p>
      <w:pPr>
        <w:spacing w:before="0" w:after="0" w:line="276"/>
        <w:ind w:right="-894" w:left="0" w:firstLine="709"/>
        <w:jc w:val="both"/>
        <w:rPr>
          <w:rFonts w:ascii="Times New Roman" w:hAnsi="Times New Roman" w:cs="Times New Roman" w:eastAsia="Times New Roman"/>
          <w:b/>
          <w:color w:val="auto"/>
          <w:spacing w:val="0"/>
          <w:position w:val="0"/>
          <w:sz w:val="24"/>
          <w:shd w:fill="auto" w:val="clear"/>
        </w:rPr>
      </w:pPr>
    </w:p>
    <w:p>
      <w:pPr>
        <w:spacing w:before="0" w:after="0" w:line="276"/>
        <w:ind w:right="-894"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pPr>
        <w:numPr>
          <w:ilvl w:val="0"/>
          <w:numId w:val="23"/>
        </w:numPr>
        <w:spacing w:before="0" w:after="0" w:line="27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w:t>
      </w:r>
    </w:p>
    <w:p>
      <w:pPr>
        <w:numPr>
          <w:ilvl w:val="0"/>
          <w:numId w:val="23"/>
        </w:numPr>
        <w:spacing w:before="0" w:after="0" w:line="27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Ендоскопічне обстеження ампули прямої кишки, товстої кишки і термінального відділу тонкої кишки з діагностичною метою та проведенням ендоскопічних маніпуляцій (зокрема, взяттям матеріалу для гістологічного дослідження).</w:t>
      </w:r>
    </w:p>
    <w:p>
      <w:pPr>
        <w:numPr>
          <w:ilvl w:val="0"/>
          <w:numId w:val="23"/>
        </w:numPr>
        <w:spacing w:before="0" w:after="0" w:line="27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Колоноскопія діагностична для візуального огляду прямої кишки, товстої кишки і термінального відділу тонкої кишки без проведення ендоскопічних маніпуляцій.</w:t>
      </w:r>
    </w:p>
    <w:p>
      <w:pPr>
        <w:numPr>
          <w:ilvl w:val="0"/>
          <w:numId w:val="23"/>
        </w:numPr>
        <w:spacing w:before="0" w:after="0" w:line="27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Виконання хромоколоноскопії (розчином індигокарміну, оцтової кислоти тощо) для діагностики неопластичних колоректальних утворень.</w:t>
      </w:r>
    </w:p>
    <w:p>
      <w:pPr>
        <w:numPr>
          <w:ilvl w:val="0"/>
          <w:numId w:val="23"/>
        </w:numPr>
        <w:spacing w:before="0" w:after="0" w:line="27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Забезпечення анестезії та анестезіологічного моніторингу під час проведення дослідження.</w:t>
      </w:r>
    </w:p>
    <w:p>
      <w:pPr>
        <w:numPr>
          <w:ilvl w:val="0"/>
          <w:numId w:val="23"/>
        </w:numPr>
        <w:spacing w:before="0" w:after="0" w:line="27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Проведення гістологічного дослідження взятого матеріалу під час колоноскопії.</w:t>
      </w:r>
    </w:p>
    <w:p>
      <w:pPr>
        <w:numPr>
          <w:ilvl w:val="0"/>
          <w:numId w:val="23"/>
        </w:numPr>
        <w:spacing w:before="0" w:after="0" w:line="27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Аналіз та опис результатів обстеження із зазначенням результатів гістологічного дослідження (якщо таке проводилося).</w:t>
      </w:r>
    </w:p>
    <w:p>
      <w:pPr>
        <w:spacing w:before="0" w:after="0" w:line="276"/>
        <w:ind w:right="-894" w:left="0" w:firstLine="709"/>
        <w:jc w:val="both"/>
        <w:rPr>
          <w:rFonts w:ascii="Times New Roman" w:hAnsi="Times New Roman" w:cs="Times New Roman" w:eastAsia="Times New Roman"/>
          <w:color w:val="auto"/>
          <w:spacing w:val="0"/>
          <w:position w:val="0"/>
          <w:sz w:val="24"/>
          <w:shd w:fill="auto" w:val="clear"/>
        </w:rPr>
      </w:pPr>
    </w:p>
    <w:p>
      <w:pPr>
        <w:spacing w:before="0" w:after="0" w:line="256"/>
        <w:ind w:right="-894" w:left="0" w:firstLine="709"/>
        <w:jc w:val="both"/>
        <w:rPr>
          <w:rFonts w:ascii="Times New Roman" w:hAnsi="Times New Roman" w:cs="Times New Roman" w:eastAsia="Times New Roman"/>
          <w:b/>
          <w:color w:val="auto"/>
          <w:spacing w:val="0"/>
          <w:position w:val="0"/>
          <w:sz w:val="24"/>
          <w:shd w:fill="auto" w:val="clear"/>
        </w:rPr>
      </w:pPr>
    </w:p>
    <w:p>
      <w:pPr>
        <w:spacing w:before="0" w:after="0" w:line="25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391.</w:t>
      </w:r>
    </w:p>
    <w:p>
      <w:pPr>
        <w:spacing w:before="0" w:after="0" w:line="256"/>
        <w:ind w:right="-894"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894" w:left="0" w:firstLine="720"/>
        <w:jc w:val="center"/>
        <w:rPr>
          <w:rFonts w:ascii="Times New Roman" w:hAnsi="Times New Roman" w:cs="Times New Roman" w:eastAsia="Times New Roman"/>
          <w:i/>
          <w:color w:val="auto"/>
          <w:spacing w:val="0"/>
          <w:position w:val="0"/>
          <w:sz w:val="24"/>
          <w:u w:val="single"/>
          <w:shd w:fill="FFFFFF" w:val="clear"/>
        </w:rPr>
      </w:pPr>
      <w:r>
        <w:rPr>
          <w:rFonts w:ascii="Times New Roman" w:hAnsi="Times New Roman" w:cs="Times New Roman" w:eastAsia="Times New Roman"/>
          <w:i/>
          <w:color w:val="auto"/>
          <w:spacing w:val="0"/>
          <w:position w:val="0"/>
          <w:sz w:val="24"/>
          <w:u w:val="single"/>
          <w:shd w:fill="FFFFFF" w:val="clear"/>
        </w:rPr>
        <w:t xml:space="preserve">Подати пропозицію </w:t>
      </w:r>
      <w:r>
        <w:rPr>
          <w:rFonts w:ascii="Times New Roman" w:hAnsi="Times New Roman" w:cs="Times New Roman" w:eastAsia="Times New Roman"/>
          <w:b/>
          <w:i/>
          <w:color w:val="auto"/>
          <w:spacing w:val="0"/>
          <w:position w:val="0"/>
          <w:sz w:val="24"/>
          <w:u w:val="single"/>
          <w:shd w:fill="FFFFFF" w:val="clear"/>
        </w:rPr>
        <w:t xml:space="preserve">«</w:t>
      </w:r>
      <w:r>
        <w:rPr>
          <w:rFonts w:ascii="Times New Roman" w:hAnsi="Times New Roman" w:cs="Times New Roman" w:eastAsia="Times New Roman"/>
          <w:b/>
          <w:i/>
          <w:color w:val="auto"/>
          <w:spacing w:val="0"/>
          <w:position w:val="0"/>
          <w:sz w:val="24"/>
          <w:u w:val="single"/>
          <w:shd w:fill="FFFFFF" w:val="clear"/>
        </w:rPr>
        <w:t xml:space="preserve">Колоноскопія</w:t>
      </w:r>
      <w:r>
        <w:rPr>
          <w:rFonts w:ascii="Times New Roman" w:hAnsi="Times New Roman" w:cs="Times New Roman" w:eastAsia="Times New Roman"/>
          <w:b/>
          <w:i/>
          <w:color w:val="auto"/>
          <w:spacing w:val="0"/>
          <w:position w:val="0"/>
          <w:sz w:val="24"/>
          <w:u w:val="single"/>
          <w:shd w:fill="FFFFFF" w:val="clear"/>
        </w:rPr>
        <w:t xml:space="preserve">», </w:t>
      </w:r>
      <w:r>
        <w:rPr>
          <w:rFonts w:ascii="Times New Roman" w:hAnsi="Times New Roman" w:cs="Times New Roman" w:eastAsia="Times New Roman"/>
          <w:i/>
          <w:color w:val="auto"/>
          <w:spacing w:val="0"/>
          <w:position w:val="0"/>
          <w:sz w:val="24"/>
          <w:u w:val="single"/>
          <w:shd w:fill="FFFFFF" w:val="clear"/>
        </w:rPr>
        <w:t xml:space="preserve">перейшовши за цим посиланням. </w:t>
      </w:r>
      <w:hyperlink xmlns:r="http://schemas.openxmlformats.org/officeDocument/2006/relationships" r:id="docRId0">
        <w:r>
          <w:rPr>
            <w:rFonts w:ascii="Times New Roman" w:hAnsi="Times New Roman" w:cs="Times New Roman" w:eastAsia="Times New Roman"/>
            <w:i/>
            <w:color w:val="0000FF"/>
            <w:spacing w:val="0"/>
            <w:position w:val="0"/>
            <w:sz w:val="24"/>
            <w:u w:val="single"/>
            <w:shd w:fill="FFFFFF" w:val="clear"/>
          </w:rPr>
          <w:t xml:space="preserve">https://smarttender.biz/</w:t>
        </w:r>
      </w:hyperlink>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Під час заповнення заяви необхідно:</w:t>
      </w: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інформацію про підставу, відповідно до якої діє підписант договору (</w:t>
      </w:r>
      <w:r>
        <w:rPr>
          <w:rFonts w:ascii="Times New Roman" w:hAnsi="Times New Roman" w:cs="Times New Roman" w:eastAsia="Times New Roman"/>
          <w:i/>
          <w:color w:val="auto"/>
          <w:spacing w:val="0"/>
          <w:position w:val="0"/>
          <w:sz w:val="24"/>
          <w:shd w:fill="FFFFFF" w:val="clear"/>
        </w:rPr>
        <w:t xml:space="preserve">для юридичних осіб автоматично зазначається </w:t>
      </w:r>
      <w:r>
        <w:rPr>
          <w:rFonts w:ascii="Times New Roman" w:hAnsi="Times New Roman" w:cs="Times New Roman" w:eastAsia="Times New Roman"/>
          <w:b/>
          <w:i/>
          <w:color w:val="auto"/>
          <w:spacing w:val="0"/>
          <w:position w:val="0"/>
          <w:sz w:val="24"/>
          <w:shd w:fill="FFFFFF" w:val="clear"/>
        </w:rPr>
        <w:t xml:space="preserve">«</w:t>
      </w:r>
      <w:r>
        <w:rPr>
          <w:rFonts w:ascii="Times New Roman" w:hAnsi="Times New Roman" w:cs="Times New Roman" w:eastAsia="Times New Roman"/>
          <w:b/>
          <w:i/>
          <w:color w:val="auto"/>
          <w:spacing w:val="0"/>
          <w:position w:val="0"/>
          <w:sz w:val="24"/>
          <w:shd w:fill="FFFFFF" w:val="clear"/>
        </w:rPr>
        <w:t xml:space="preserve">діє на підставі Статуту</w:t>
      </w:r>
      <w:r>
        <w:rPr>
          <w:rFonts w:ascii="Times New Roman" w:hAnsi="Times New Roman" w:cs="Times New Roman" w:eastAsia="Times New Roman"/>
          <w:b/>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для фізичних осіб-підприємців - необхідно </w:t>
      </w:r>
      <w:r>
        <w:rPr>
          <w:rFonts w:ascii="Times New Roman" w:hAnsi="Times New Roman" w:cs="Times New Roman" w:eastAsia="Times New Roman"/>
          <w:b/>
          <w:i/>
          <w:color w:val="auto"/>
          <w:spacing w:val="0"/>
          <w:position w:val="0"/>
          <w:sz w:val="24"/>
          <w:shd w:fill="FFFFFF" w:val="clear"/>
        </w:rPr>
        <w:t xml:space="preserve">вказати номер  та дату </w:t>
      </w:r>
      <w:r>
        <w:rPr>
          <w:rFonts w:ascii="Times New Roman" w:hAnsi="Times New Roman" w:cs="Times New Roman" w:eastAsia="Times New Roman"/>
          <w:i/>
          <w:color w:val="auto"/>
          <w:spacing w:val="0"/>
          <w:position w:val="0"/>
          <w:sz w:val="24"/>
          <w:shd w:fill="FFFFFF" w:val="clear"/>
        </w:rPr>
        <w:t xml:space="preserve">запису в Єдиному державному реєстрі юридичних осіб, фізичних осіб-підприємців та громадських формувань)</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894" w:left="0" w:firstLine="72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обрати місця надання послуг, які будуть включені до договору</w:t>
      </w:r>
      <w:r>
        <w:rPr>
          <w:rFonts w:ascii="Times New Roman" w:hAnsi="Times New Roman" w:cs="Times New Roman" w:eastAsia="Times New Roman"/>
          <w:i/>
          <w:color w:val="auto"/>
          <w:spacing w:val="0"/>
          <w:position w:val="0"/>
          <w:sz w:val="24"/>
          <w:shd w:fill="FFFFFF" w:val="clear"/>
        </w:rPr>
        <w:t xml:space="preserve">;</w:t>
      </w:r>
    </w:p>
    <w:p>
      <w:pPr>
        <w:spacing w:before="0" w:after="0" w:line="240"/>
        <w:ind w:right="-894" w:left="0" w:firstLine="72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статистичні дані за формою звітності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20, </w:t>
      </w:r>
      <w:r>
        <w:rPr>
          <w:rFonts w:ascii="Times New Roman" w:hAnsi="Times New Roman" w:cs="Times New Roman" w:eastAsia="Times New Roman"/>
          <w:color w:val="auto"/>
          <w:spacing w:val="0"/>
          <w:position w:val="0"/>
          <w:sz w:val="24"/>
          <w:shd w:fill="FFFFFF" w:val="clear"/>
        </w:rPr>
        <w:t xml:space="preserve">затвердженою наказом МОЗ від 10.07.2007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378, </w:t>
      </w:r>
      <w:r>
        <w:rPr>
          <w:rFonts w:ascii="Times New Roman" w:hAnsi="Times New Roman" w:cs="Times New Roman" w:eastAsia="Times New Roman"/>
          <w:color w:val="auto"/>
          <w:spacing w:val="0"/>
          <w:position w:val="0"/>
          <w:sz w:val="24"/>
          <w:shd w:fill="FFFFFF" w:val="clear"/>
        </w:rPr>
        <w:t xml:space="preserve">за 2018 рік;</w:t>
      </w:r>
      <w:r>
        <w:rPr>
          <w:rFonts w:ascii="Times New Roman" w:hAnsi="Times New Roman" w:cs="Times New Roman" w:eastAsia="Times New Roman"/>
          <w:i/>
          <w:color w:val="auto"/>
          <w:spacing w:val="0"/>
          <w:position w:val="0"/>
          <w:sz w:val="24"/>
          <w:shd w:fill="FFFFFF" w:val="clear"/>
        </w:rPr>
        <w:t xml:space="preserve"> </w:t>
      </w:r>
    </w:p>
    <w:p>
      <w:pPr>
        <w:spacing w:before="0" w:after="0" w:line="240"/>
        <w:ind w:right="-894"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банківські реквізити суб'єкта господарювання (IBAN);</w:t>
      </w: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УВАГА</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Разом із заявою також необхідно подати додатки до неї, які слід прикріпити  у вигляді сканованих документів у форматі PDF (далі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пропозиція). </w:t>
      </w:r>
    </w:p>
    <w:p>
      <w:pPr>
        <w:spacing w:before="0" w:after="0" w:line="240"/>
        <w:ind w:right="-894" w:left="0" w:firstLine="720"/>
        <w:jc w:val="both"/>
        <w:rPr>
          <w:rFonts w:ascii="Times New Roman" w:hAnsi="Times New Roman" w:cs="Times New Roman" w:eastAsia="Times New Roman"/>
          <w:color w:val="auto"/>
          <w:spacing w:val="0"/>
          <w:position w:val="0"/>
          <w:sz w:val="24"/>
          <w:shd w:fill="FFFFFF" w:val="clear"/>
        </w:rPr>
      </w:pPr>
    </w:p>
    <w:p>
      <w:pPr>
        <w:spacing w:before="0" w:after="0" w:line="256"/>
        <w:ind w:right="-894"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894"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894"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Перелік додатків до пропозиції</w:t>
      </w:r>
    </w:p>
    <w:p>
      <w:pPr>
        <w:spacing w:before="0" w:after="0" w:line="256"/>
        <w:ind w:right="-894"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Додаток 1. </w:t>
      </w:r>
      <w:r>
        <w:rPr>
          <w:rFonts w:ascii="Times New Roman" w:hAnsi="Times New Roman" w:cs="Times New Roman" w:eastAsia="Times New Roman"/>
          <w:color w:val="auto"/>
          <w:spacing w:val="0"/>
          <w:position w:val="0"/>
          <w:sz w:val="24"/>
          <w:shd w:fill="FFFFFF" w:val="clear"/>
        </w:rPr>
        <w:t xml:space="preserve">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pPr>
        <w:spacing w:before="0" w:after="0" w:line="256"/>
        <w:ind w:right="-894"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Додаток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pPr>
        <w:numPr>
          <w:ilvl w:val="0"/>
          <w:numId w:val="33"/>
        </w:numPr>
        <w:spacing w:before="0" w:after="0" w:line="331"/>
        <w:ind w:right="-894" w:left="0" w:firstLine="426"/>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ліцензія на бланку, якщо документ отримано до 01 січня 2017 року;</w:t>
      </w:r>
    </w:p>
    <w:p>
      <w:pPr>
        <w:numPr>
          <w:ilvl w:val="0"/>
          <w:numId w:val="33"/>
        </w:numPr>
        <w:spacing w:before="0" w:after="200" w:line="331"/>
        <w:ind w:right="-894" w:left="0" w:firstLine="426"/>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витяг з наказу МОЗ, якщо ліцензію отримано після 01 січня 2017 року.</w:t>
      </w:r>
    </w:p>
    <w:p>
      <w:pPr>
        <w:spacing w:before="0" w:after="0" w:line="256"/>
        <w:ind w:right="-894"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Проект додатку до договору щодо спеціальних умов надання відповідних видів медичних послуг або груп медичних послуг</w:t>
      </w:r>
    </w:p>
    <w:p>
      <w:pPr>
        <w:spacing w:before="0" w:after="160" w:line="276"/>
        <w:ind w:right="-894" w:left="0" w:firstLine="0"/>
        <w:jc w:val="both"/>
        <w:rPr>
          <w:rFonts w:ascii="Times New Roman" w:hAnsi="Times New Roman" w:cs="Times New Roman" w:eastAsia="Times New Roman"/>
          <w:color w:val="auto"/>
          <w:spacing w:val="0"/>
          <w:position w:val="0"/>
          <w:sz w:val="24"/>
          <w:shd w:fill="auto" w:val="clear"/>
        </w:rPr>
      </w:pPr>
    </w:p>
    <w:p>
      <w:pPr>
        <w:spacing w:before="0" w:after="160" w:line="276"/>
        <w:ind w:right="-894" w:left="0" w:firstLine="4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FFFFFF" w:val="clear"/>
        </w:rPr>
        <w:t xml:space="preserve">Протягом десяти календарних днів</w:t>
      </w:r>
      <w:r>
        <w:rPr>
          <w:rFonts w:ascii="Times New Roman" w:hAnsi="Times New Roman" w:cs="Times New Roman" w:eastAsia="Times New Roman"/>
          <w:color w:val="auto"/>
          <w:spacing w:val="0"/>
          <w:position w:val="0"/>
          <w:sz w:val="24"/>
          <w:shd w:fill="FFFFFF" w:val="clear"/>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pPr>
        <w:spacing w:before="0" w:after="0" w:line="256"/>
        <w:ind w:right="-894"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Важливо:</w:t>
      </w:r>
    </w:p>
    <w:p>
      <w:pPr>
        <w:spacing w:before="0" w:after="0" w:line="276"/>
        <w:ind w:right="-894" w:left="0" w:firstLine="70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Договори відповідно до цього Оголошення укладаються на </w:t>
      </w:r>
      <w:r>
        <w:rPr>
          <w:rFonts w:ascii="Times New Roman" w:hAnsi="Times New Roman" w:cs="Times New Roman" w:eastAsia="Times New Roman"/>
          <w:b/>
          <w:color w:val="auto"/>
          <w:spacing w:val="0"/>
          <w:position w:val="0"/>
          <w:sz w:val="24"/>
          <w:shd w:fill="FFFFFF" w:val="clear"/>
        </w:rPr>
        <w:t xml:space="preserve">строк дії з 1 квітня по 31 грудня 2020 року.</w:t>
      </w:r>
    </w:p>
    <w:p>
      <w:pPr>
        <w:spacing w:before="0" w:after="0" w:line="276"/>
        <w:ind w:right="-894" w:left="0" w:firstLine="709"/>
        <w:jc w:val="both"/>
        <w:rPr>
          <w:rFonts w:ascii="Times New Roman" w:hAnsi="Times New Roman" w:cs="Times New Roman" w:eastAsia="Times New Roman"/>
          <w:color w:val="auto"/>
          <w:spacing w:val="0"/>
          <w:position w:val="0"/>
          <w:sz w:val="14"/>
          <w:shd w:fill="FFFFFF" w:val="clear"/>
        </w:rPr>
      </w:pPr>
      <w:r>
        <w:rPr>
          <w:rFonts w:ascii="Times New Roman" w:hAnsi="Times New Roman" w:cs="Times New Roman" w:eastAsia="Times New Roman"/>
          <w:color w:val="auto"/>
          <w:spacing w:val="0"/>
          <w:position w:val="0"/>
          <w:sz w:val="24"/>
          <w:shd w:fill="FFFFFF" w:val="clear"/>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pPr>
        <w:numPr>
          <w:ilvl w:val="0"/>
          <w:numId w:val="41"/>
        </w:numPr>
        <w:spacing w:before="0" w:after="0" w:line="25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Центральний міжрегіональний департамент (м. Київ, Київська обл., Житомирська обл., Вінницька обл., Черкаська обл.) -  (044) 299 04 86, (044) 299 04 97.</w:t>
      </w:r>
    </w:p>
    <w:p>
      <w:pPr>
        <w:numPr>
          <w:ilvl w:val="0"/>
          <w:numId w:val="41"/>
        </w:numPr>
        <w:spacing w:before="0" w:after="0" w:line="25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Північний міжрегіональний департамент (Полтавська обл., Сумська обл., Харківська обл., Чернігівська обл.) -  (044) 299 04 96.</w:t>
      </w:r>
    </w:p>
    <w:p>
      <w:pPr>
        <w:spacing w:before="0" w:after="0" w:line="25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Південний міжрегіональний департамент (Миколаївська обл., Одеська обл., Херсонська обл., Автономна Республіка Крим)  - (048) 753 13 86.</w:t>
      </w:r>
    </w:p>
    <w:p>
      <w:pPr>
        <w:spacing w:before="0" w:after="0" w:line="25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pPr>
        <w:spacing w:before="0" w:after="0" w:line="256"/>
        <w:ind w:right="-89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Східний міжрегіональний департамент (Дніпропетровська обл., Донецька обл., Запорізька обл., Кіровоградська обл., Луганська обл.) - 098 041 13 45.</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56"/>
        <w:ind w:right="0" w:left="0" w:firstLine="0"/>
        <w:jc w:val="center"/>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
    <w:abstractNumId w:val="42"/>
  </w:num>
  <w:num w:numId="13">
    <w:abstractNumId w:val="36"/>
  </w:num>
  <w:num w:numId="15">
    <w:abstractNumId w:val="30"/>
  </w:num>
  <w:num w:numId="17">
    <w:abstractNumId w:val="24"/>
  </w:num>
  <w:num w:numId="19">
    <w:abstractNumId w:val="18"/>
  </w:num>
  <w:num w:numId="23">
    <w:abstractNumId w:val="12"/>
  </w:num>
  <w:num w:numId="33">
    <w:abstractNumId w:val="6"/>
  </w:num>
  <w:num w:numId="4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marttender.biz/"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