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602" w:rsidRDefault="00BE0602"/>
    <w:tbl>
      <w:tblPr>
        <w:tblW w:w="3402" w:type="dxa"/>
        <w:tblInd w:w="7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</w:tblGrid>
      <w:tr w:rsidR="00EB2F3A" w:rsidRPr="00ED5991" w:rsidTr="009256A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B2F3A" w:rsidRPr="008D2996" w:rsidRDefault="00EB2F3A" w:rsidP="009256A7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Додаток </w:t>
            </w:r>
            <w:r w:rsidR="0042117C">
              <w:rPr>
                <w:color w:val="000000"/>
                <w:sz w:val="24"/>
                <w:szCs w:val="24"/>
              </w:rPr>
              <w:t>3</w:t>
            </w:r>
          </w:p>
          <w:p w:rsidR="00EB2F3A" w:rsidRPr="00D3154A" w:rsidRDefault="00EB2F3A" w:rsidP="009256A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3154A">
              <w:rPr>
                <w:color w:val="000000"/>
                <w:sz w:val="24"/>
                <w:szCs w:val="24"/>
              </w:rPr>
              <w:t>ЗАТВЕРДЖЕНО</w:t>
            </w:r>
          </w:p>
          <w:p w:rsidR="00EB2F3A" w:rsidRPr="00D3154A" w:rsidRDefault="00EB2F3A" w:rsidP="009256A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3154A">
              <w:rPr>
                <w:color w:val="000000"/>
                <w:sz w:val="24"/>
                <w:szCs w:val="24"/>
              </w:rPr>
              <w:t>наказ НСЗУ</w:t>
            </w:r>
          </w:p>
          <w:p w:rsidR="00EB2F3A" w:rsidRPr="00ED5991" w:rsidRDefault="00EB2F3A" w:rsidP="009011DA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3154A">
              <w:rPr>
                <w:color w:val="000000"/>
                <w:sz w:val="24"/>
                <w:szCs w:val="24"/>
              </w:rPr>
              <w:t xml:space="preserve">від </w:t>
            </w:r>
            <w:r w:rsidR="009011DA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>.</w:t>
            </w:r>
            <w:r w:rsidR="009011DA">
              <w:rPr>
                <w:color w:val="000000"/>
                <w:sz w:val="24"/>
                <w:szCs w:val="24"/>
              </w:rPr>
              <w:t>07.</w:t>
            </w:r>
            <w:r w:rsidRPr="00D3154A">
              <w:rPr>
                <w:color w:val="000000"/>
                <w:sz w:val="24"/>
                <w:szCs w:val="24"/>
                <w:lang w:val="ru-RU"/>
              </w:rPr>
              <w:t xml:space="preserve">2021 </w:t>
            </w:r>
            <w:r w:rsidRPr="00D3154A">
              <w:rPr>
                <w:sz w:val="24"/>
                <w:szCs w:val="24"/>
              </w:rPr>
              <w:t xml:space="preserve">№ </w:t>
            </w:r>
            <w:r w:rsidR="009011DA">
              <w:rPr>
                <w:sz w:val="24"/>
                <w:szCs w:val="24"/>
              </w:rPr>
              <w:t>448</w:t>
            </w:r>
            <w:r>
              <w:rPr>
                <w:sz w:val="24"/>
                <w:szCs w:val="24"/>
              </w:rPr>
              <w:t xml:space="preserve"> </w:t>
            </w:r>
            <w:r w:rsidRPr="00D3154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D3154A">
              <w:rPr>
                <w:sz w:val="24"/>
                <w:szCs w:val="24"/>
              </w:rPr>
              <w:t>к</w:t>
            </w:r>
          </w:p>
        </w:tc>
      </w:tr>
    </w:tbl>
    <w:p w:rsidR="00EB2F3A" w:rsidRPr="00ED5991" w:rsidRDefault="00EB2F3A" w:rsidP="00EB2F3A">
      <w:pPr>
        <w:spacing w:line="240" w:lineRule="auto"/>
        <w:jc w:val="center"/>
        <w:outlineLvl w:val="2"/>
        <w:rPr>
          <w:rFonts w:cs="Times New Roman"/>
          <w:b/>
          <w:bCs/>
          <w:sz w:val="26"/>
          <w:szCs w:val="26"/>
          <w:lang w:eastAsia="ru-RU"/>
        </w:rPr>
      </w:pPr>
    </w:p>
    <w:p w:rsidR="00EB2F3A" w:rsidRPr="007833C5" w:rsidRDefault="00EB2F3A" w:rsidP="00EB2F3A">
      <w:pPr>
        <w:spacing w:line="240" w:lineRule="auto"/>
        <w:jc w:val="center"/>
        <w:outlineLvl w:val="2"/>
        <w:rPr>
          <w:rFonts w:cs="Times New Roman"/>
          <w:bCs/>
          <w:sz w:val="24"/>
          <w:szCs w:val="24"/>
          <w:lang w:eastAsia="ru-RU"/>
        </w:rPr>
      </w:pPr>
      <w:r w:rsidRPr="007833C5">
        <w:rPr>
          <w:rFonts w:cs="Times New Roman"/>
          <w:bCs/>
          <w:sz w:val="24"/>
          <w:szCs w:val="24"/>
          <w:lang w:eastAsia="ru-RU"/>
        </w:rPr>
        <w:t xml:space="preserve">УМОВИ </w:t>
      </w:r>
      <w:bookmarkStart w:id="0" w:name="_GoBack"/>
      <w:bookmarkEnd w:id="0"/>
    </w:p>
    <w:p w:rsidR="00EB2F3A" w:rsidRDefault="00EB2F3A" w:rsidP="00EB2F3A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141"/>
        <w:jc w:val="center"/>
        <w:outlineLvl w:val="2"/>
        <w:rPr>
          <w:rFonts w:ascii="Times New Roman" w:hAnsi="Times New Roman"/>
          <w:sz w:val="24"/>
          <w:szCs w:val="24"/>
        </w:rPr>
      </w:pPr>
      <w:r w:rsidRPr="007833C5">
        <w:rPr>
          <w:rFonts w:ascii="Times New Roman" w:hAnsi="Times New Roman"/>
          <w:bCs/>
          <w:sz w:val="24"/>
          <w:szCs w:val="24"/>
          <w:lang w:eastAsia="ru-RU"/>
        </w:rPr>
        <w:t xml:space="preserve">проведення конкурсу на зайняття посади державної служби категорії </w:t>
      </w:r>
      <w:r w:rsidRPr="007833C5">
        <w:rPr>
          <w:rFonts w:ascii="Times New Roman" w:hAnsi="Times New Roman"/>
          <w:sz w:val="24"/>
          <w:szCs w:val="24"/>
        </w:rPr>
        <w:t>“Б” –</w:t>
      </w:r>
    </w:p>
    <w:p w:rsidR="0042117C" w:rsidRDefault="0042117C" w:rsidP="00EB2F3A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141"/>
        <w:jc w:val="center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785EE1">
        <w:rPr>
          <w:rFonts w:ascii="Times New Roman" w:hAnsi="Times New Roman"/>
          <w:bCs/>
          <w:sz w:val="24"/>
          <w:szCs w:val="24"/>
          <w:lang w:eastAsia="ru-RU"/>
        </w:rPr>
        <w:t>заступника начальника відділу договірної роботи управління у м.</w:t>
      </w:r>
      <w:r w:rsidR="00321B81">
        <w:rPr>
          <w:rFonts w:ascii="Times New Roman" w:hAnsi="Times New Roman"/>
          <w:bCs/>
          <w:sz w:val="24"/>
          <w:szCs w:val="24"/>
          <w:lang w:eastAsia="ru-RU"/>
        </w:rPr>
        <w:t> </w:t>
      </w:r>
      <w:r w:rsidRPr="00785EE1">
        <w:rPr>
          <w:rFonts w:ascii="Times New Roman" w:hAnsi="Times New Roman"/>
          <w:bCs/>
          <w:sz w:val="24"/>
          <w:szCs w:val="24"/>
          <w:lang w:eastAsia="ru-RU"/>
        </w:rPr>
        <w:t xml:space="preserve">Києві </w:t>
      </w:r>
    </w:p>
    <w:p w:rsidR="00EB2F3A" w:rsidRPr="00EB2F3A" w:rsidRDefault="0042117C" w:rsidP="00EB2F3A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141"/>
        <w:jc w:val="center"/>
        <w:outlineLvl w:val="2"/>
        <w:rPr>
          <w:rFonts w:ascii="Times New Roman" w:hAnsi="Times New Roman"/>
          <w:sz w:val="24"/>
          <w:szCs w:val="24"/>
        </w:rPr>
      </w:pPr>
      <w:r w:rsidRPr="00785EE1">
        <w:rPr>
          <w:rFonts w:ascii="Times New Roman" w:hAnsi="Times New Roman"/>
          <w:bCs/>
          <w:sz w:val="24"/>
          <w:szCs w:val="24"/>
          <w:lang w:eastAsia="ru-RU"/>
        </w:rPr>
        <w:t>Центральног</w:t>
      </w:r>
      <w:r>
        <w:rPr>
          <w:rFonts w:ascii="Times New Roman" w:hAnsi="Times New Roman"/>
          <w:bCs/>
          <w:sz w:val="24"/>
          <w:szCs w:val="24"/>
          <w:lang w:eastAsia="ru-RU"/>
        </w:rPr>
        <w:t>о міжрегіонального департаменту</w:t>
      </w:r>
    </w:p>
    <w:p w:rsidR="00BE0602" w:rsidRPr="00FB2759" w:rsidRDefault="00BE0602" w:rsidP="00EB2F3A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/>
        <w:ind w:left="142"/>
        <w:jc w:val="center"/>
        <w:outlineLvl w:val="2"/>
        <w:rPr>
          <w:rFonts w:ascii="Times New Roman" w:hAnsi="Times New Roman"/>
          <w:bCs/>
          <w:sz w:val="20"/>
          <w:szCs w:val="20"/>
          <w:lang w:eastAsia="ru-RU"/>
        </w:rPr>
      </w:pPr>
    </w:p>
    <w:tbl>
      <w:tblPr>
        <w:tblW w:w="4681" w:type="pct"/>
        <w:tblCellSpacing w:w="2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386"/>
        <w:gridCol w:w="3456"/>
        <w:gridCol w:w="6364"/>
      </w:tblGrid>
      <w:tr w:rsidR="00EB2F3A" w:rsidRPr="00ED5991" w:rsidTr="009256A7">
        <w:trPr>
          <w:tblCellSpacing w:w="22" w:type="dxa"/>
        </w:trPr>
        <w:tc>
          <w:tcPr>
            <w:tcW w:w="4957" w:type="pct"/>
            <w:gridSpan w:val="3"/>
          </w:tcPr>
          <w:p w:rsidR="00EB2F3A" w:rsidRPr="00ED5991" w:rsidRDefault="00EB2F3A" w:rsidP="009256A7">
            <w:pPr>
              <w:spacing w:before="100" w:beforeAutospacing="1" w:after="100" w:afterAutospacing="1" w:line="240" w:lineRule="auto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ED5991">
              <w:rPr>
                <w:rFonts w:cs="Times New Roman"/>
                <w:b/>
                <w:szCs w:val="28"/>
                <w:lang w:eastAsia="ru-RU"/>
              </w:rPr>
              <w:t>Загальні умови</w:t>
            </w:r>
          </w:p>
        </w:tc>
      </w:tr>
      <w:tr w:rsidR="0042117C" w:rsidRPr="00ED5991" w:rsidTr="004D32F5">
        <w:trPr>
          <w:trHeight w:val="10114"/>
          <w:tblCellSpacing w:w="22" w:type="dxa"/>
        </w:trPr>
        <w:tc>
          <w:tcPr>
            <w:tcW w:w="1844" w:type="pct"/>
            <w:gridSpan w:val="2"/>
          </w:tcPr>
          <w:p w:rsidR="0042117C" w:rsidRPr="00ED5991" w:rsidRDefault="0042117C" w:rsidP="0042117C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Посадові обов</w:t>
            </w:r>
            <w:r>
              <w:rPr>
                <w:rFonts w:cs="Times New Roman"/>
                <w:sz w:val="24"/>
                <w:szCs w:val="24"/>
                <w:lang w:eastAsia="ru-RU"/>
              </w:rPr>
              <w:t>’</w:t>
            </w:r>
            <w:r w:rsidRPr="00ED5991">
              <w:rPr>
                <w:rFonts w:cs="Times New Roman"/>
                <w:sz w:val="24"/>
                <w:szCs w:val="24"/>
                <w:lang w:eastAsia="ru-RU"/>
              </w:rPr>
              <w:t>язки</w:t>
            </w:r>
          </w:p>
        </w:tc>
        <w:tc>
          <w:tcPr>
            <w:tcW w:w="3091" w:type="pct"/>
            <w:shd w:val="clear" w:color="auto" w:fill="auto"/>
          </w:tcPr>
          <w:p w:rsidR="0042117C" w:rsidRPr="00D644B1" w:rsidRDefault="0042117C" w:rsidP="0042117C">
            <w:pPr>
              <w:pStyle w:val="a4"/>
              <w:numPr>
                <w:ilvl w:val="0"/>
                <w:numId w:val="8"/>
              </w:numPr>
              <w:spacing w:after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44B1">
              <w:rPr>
                <w:rFonts w:ascii="Times New Roman" w:hAnsi="Times New Roman"/>
                <w:sz w:val="24"/>
                <w:szCs w:val="24"/>
                <w:lang w:eastAsia="ru-RU"/>
              </w:rPr>
              <w:t>здійснює керівництво роботою відділу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разі відсутності керівника відділу</w:t>
            </w:r>
            <w:r w:rsidRPr="00D644B1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42117C" w:rsidRPr="003721DF" w:rsidRDefault="0042117C" w:rsidP="0042117C">
            <w:pPr>
              <w:pStyle w:val="a4"/>
              <w:numPr>
                <w:ilvl w:val="2"/>
                <w:numId w:val="9"/>
              </w:numPr>
              <w:tabs>
                <w:tab w:val="left" w:pos="1701"/>
              </w:tabs>
              <w:spacing w:after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721DF">
              <w:rPr>
                <w:rFonts w:ascii="Times New Roman" w:hAnsi="Times New Roman"/>
                <w:sz w:val="24"/>
                <w:szCs w:val="24"/>
              </w:rPr>
              <w:t xml:space="preserve">рганізовує проведення підготовчої роботи щодо укладення договорів щодо надання первинної, спеціалізованої, високоспеціалізованої, екстреної, паліативної медичної допомоги та реабілітації (далі – договорів про медичне обслуговування населення), договорів про </w:t>
            </w:r>
            <w:proofErr w:type="spellStart"/>
            <w:r w:rsidRPr="003721DF">
              <w:rPr>
                <w:rFonts w:ascii="Times New Roman" w:hAnsi="Times New Roman"/>
                <w:sz w:val="24"/>
                <w:szCs w:val="24"/>
              </w:rPr>
              <w:t>реімбурсацію</w:t>
            </w:r>
            <w:proofErr w:type="spellEnd"/>
            <w:r w:rsidRPr="003721DF">
              <w:rPr>
                <w:rFonts w:ascii="Times New Roman" w:hAnsi="Times New Roman"/>
                <w:sz w:val="24"/>
                <w:szCs w:val="24"/>
              </w:rPr>
              <w:t xml:space="preserve"> в регіоні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117C" w:rsidRPr="003721DF" w:rsidRDefault="0042117C" w:rsidP="0042117C">
            <w:pPr>
              <w:pStyle w:val="a4"/>
              <w:numPr>
                <w:ilvl w:val="2"/>
                <w:numId w:val="9"/>
              </w:numPr>
              <w:tabs>
                <w:tab w:val="left" w:pos="1701"/>
              </w:tabs>
              <w:spacing w:after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721DF">
              <w:rPr>
                <w:rFonts w:ascii="Times New Roman" w:hAnsi="Times New Roman"/>
                <w:sz w:val="24"/>
                <w:szCs w:val="24"/>
              </w:rPr>
              <w:t>рганізовує роботу щодо:</w:t>
            </w:r>
          </w:p>
          <w:p w:rsidR="0042117C" w:rsidRPr="003721DF" w:rsidRDefault="0042117C" w:rsidP="0042117C">
            <w:pPr>
              <w:pStyle w:val="a4"/>
              <w:numPr>
                <w:ilvl w:val="3"/>
                <w:numId w:val="10"/>
              </w:numPr>
              <w:tabs>
                <w:tab w:val="left" w:pos="1701"/>
              </w:tabs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721DF">
              <w:rPr>
                <w:rFonts w:ascii="Times New Roman" w:hAnsi="Times New Roman"/>
                <w:sz w:val="24"/>
                <w:szCs w:val="24"/>
              </w:rPr>
              <w:t xml:space="preserve">упроводу укладених договорів про медичне обслуговування населення 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договорів про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реімбурсацію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117C" w:rsidRPr="003721DF" w:rsidRDefault="0042117C" w:rsidP="0042117C">
            <w:pPr>
              <w:pStyle w:val="a4"/>
              <w:numPr>
                <w:ilvl w:val="3"/>
                <w:numId w:val="10"/>
              </w:numPr>
              <w:tabs>
                <w:tab w:val="left" w:pos="1701"/>
              </w:tabs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721DF">
              <w:rPr>
                <w:rFonts w:ascii="Times New Roman" w:hAnsi="Times New Roman"/>
                <w:sz w:val="24"/>
                <w:szCs w:val="24"/>
              </w:rPr>
              <w:t xml:space="preserve">працювання заперечень, що надходять під час роботи щодо супроводу договорів про медичне обслуговування населення та договорів про </w:t>
            </w:r>
            <w:proofErr w:type="spellStart"/>
            <w:r w:rsidRPr="003721DF">
              <w:rPr>
                <w:rFonts w:ascii="Times New Roman" w:hAnsi="Times New Roman"/>
                <w:sz w:val="24"/>
                <w:szCs w:val="24"/>
              </w:rPr>
              <w:t>реімбурсацію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117C" w:rsidRPr="003721DF" w:rsidRDefault="0042117C" w:rsidP="0042117C">
            <w:pPr>
              <w:pStyle w:val="a4"/>
              <w:numPr>
                <w:ilvl w:val="2"/>
                <w:numId w:val="9"/>
              </w:numPr>
              <w:tabs>
                <w:tab w:val="left" w:pos="1418"/>
                <w:tab w:val="left" w:pos="1701"/>
              </w:tabs>
              <w:spacing w:after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3721DF">
              <w:rPr>
                <w:rFonts w:ascii="Times New Roman" w:hAnsi="Times New Roman"/>
                <w:sz w:val="24"/>
                <w:szCs w:val="24"/>
              </w:rPr>
              <w:t xml:space="preserve">дійснює заходи щодо попередження недотримання </w:t>
            </w:r>
            <w:r>
              <w:rPr>
                <w:rFonts w:ascii="Times New Roman" w:hAnsi="Times New Roman"/>
                <w:sz w:val="24"/>
                <w:szCs w:val="24"/>
              </w:rPr>
              <w:t>надавачами медичних послуг та аптечними закладами</w:t>
            </w:r>
            <w:r w:rsidRPr="00372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25E9">
              <w:rPr>
                <w:rFonts w:ascii="Times New Roman" w:hAnsi="Times New Roman" w:cs="Calibri"/>
                <w:sz w:val="24"/>
                <w:szCs w:val="24"/>
              </w:rPr>
              <w:t>у регіоні</w:t>
            </w:r>
            <w:r w:rsidRPr="003721DF">
              <w:rPr>
                <w:rFonts w:ascii="Times New Roman" w:hAnsi="Times New Roman"/>
                <w:sz w:val="24"/>
                <w:szCs w:val="24"/>
              </w:rPr>
              <w:t xml:space="preserve"> вимог, установлених договорами про медичне обслуговування населення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 договорами про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реімбурсацію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117C" w:rsidRPr="003721DF" w:rsidRDefault="0042117C" w:rsidP="0042117C">
            <w:pPr>
              <w:pStyle w:val="a4"/>
              <w:numPr>
                <w:ilvl w:val="2"/>
                <w:numId w:val="9"/>
              </w:numPr>
              <w:tabs>
                <w:tab w:val="left" w:pos="1418"/>
                <w:tab w:val="left" w:pos="1701"/>
              </w:tabs>
              <w:spacing w:after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721DF">
              <w:rPr>
                <w:rFonts w:ascii="Times New Roman" w:hAnsi="Times New Roman"/>
                <w:sz w:val="24"/>
                <w:szCs w:val="24"/>
              </w:rPr>
              <w:t xml:space="preserve">роводить консультації з </w:t>
            </w:r>
            <w:r>
              <w:rPr>
                <w:rFonts w:ascii="Times New Roman" w:hAnsi="Times New Roman"/>
                <w:sz w:val="24"/>
                <w:szCs w:val="24"/>
              </w:rPr>
              <w:t>надавачами медичних послуг та аптечними закладами</w:t>
            </w:r>
            <w:r w:rsidRPr="00372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25E9">
              <w:rPr>
                <w:rFonts w:ascii="Times New Roman" w:hAnsi="Times New Roman" w:cs="Calibri"/>
                <w:sz w:val="24"/>
                <w:szCs w:val="24"/>
              </w:rPr>
              <w:t>у регіоні</w:t>
            </w:r>
            <w:r w:rsidRPr="003721DF">
              <w:rPr>
                <w:rFonts w:ascii="Times New Roman" w:hAnsi="Times New Roman"/>
                <w:sz w:val="24"/>
                <w:szCs w:val="24"/>
              </w:rPr>
              <w:t xml:space="preserve"> щодо порядку та умов укладання, зміни та припинення договорів про медичне обслуговування населення</w:t>
            </w:r>
            <w:r w:rsidRPr="003721DF" w:rsidDel="003E4E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21DF">
              <w:rPr>
                <w:rFonts w:ascii="Times New Roman" w:hAnsi="Times New Roman"/>
                <w:sz w:val="24"/>
                <w:szCs w:val="24"/>
              </w:rPr>
              <w:t xml:space="preserve">та договорів про </w:t>
            </w:r>
            <w:proofErr w:type="spellStart"/>
            <w:r w:rsidRPr="003721DF">
              <w:rPr>
                <w:rFonts w:ascii="Times New Roman" w:hAnsi="Times New Roman"/>
                <w:sz w:val="24"/>
                <w:szCs w:val="24"/>
              </w:rPr>
              <w:t>реімбурсацію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117C" w:rsidRPr="003721DF" w:rsidRDefault="0042117C" w:rsidP="0042117C">
            <w:pPr>
              <w:pStyle w:val="a4"/>
              <w:numPr>
                <w:ilvl w:val="2"/>
                <w:numId w:val="9"/>
              </w:numPr>
              <w:tabs>
                <w:tab w:val="left" w:pos="1418"/>
                <w:tab w:val="left" w:pos="1701"/>
              </w:tabs>
              <w:spacing w:after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3721DF">
              <w:rPr>
                <w:rFonts w:ascii="Times New Roman" w:hAnsi="Times New Roman"/>
                <w:sz w:val="24"/>
                <w:szCs w:val="24"/>
              </w:rPr>
              <w:t xml:space="preserve">дійснює заходи щодо супроводу та підтримки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надавачів медичних послуг та аптечних закладів </w:t>
            </w:r>
            <w:r w:rsidRPr="001125E9">
              <w:rPr>
                <w:rFonts w:ascii="Times New Roman" w:hAnsi="Times New Roman" w:cs="Calibri"/>
                <w:sz w:val="24"/>
                <w:szCs w:val="24"/>
              </w:rPr>
              <w:t>у регіоні</w:t>
            </w:r>
            <w:r w:rsidRPr="003721DF">
              <w:rPr>
                <w:rFonts w:ascii="Times New Roman" w:hAnsi="Times New Roman"/>
                <w:sz w:val="24"/>
                <w:szCs w:val="24"/>
              </w:rPr>
              <w:t xml:space="preserve"> щодо укладання, зміни та припинення договорів про медичне обслуговування населення</w:t>
            </w:r>
            <w:r w:rsidRPr="003721DF" w:rsidDel="003E4E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договорів про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реімбурсацію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117C" w:rsidRPr="003721DF" w:rsidRDefault="00321B81" w:rsidP="0042117C">
            <w:pPr>
              <w:pStyle w:val="a4"/>
              <w:numPr>
                <w:ilvl w:val="1"/>
                <w:numId w:val="9"/>
              </w:numPr>
              <w:tabs>
                <w:tab w:val="left" w:pos="1418"/>
              </w:tabs>
              <w:spacing w:after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42117C" w:rsidRPr="003721DF">
              <w:rPr>
                <w:rFonts w:ascii="Times New Roman" w:hAnsi="Times New Roman"/>
                <w:sz w:val="24"/>
                <w:szCs w:val="24"/>
              </w:rPr>
              <w:t xml:space="preserve"> межах компетенції здійснює взаємодію із закладами охорони здоров’я регіону незалежно від форми власності та фізичними особами - підприємцями, що провадять господарську діяльність з медичної практики, державними органами та органами місцевого самоврядування, що розташовані в регіоні, з питань, які виникають в процесі укладання, зміни, виконання та припинення договорів про медичне обслуговування населення та договорів про </w:t>
            </w:r>
            <w:proofErr w:type="spellStart"/>
            <w:r w:rsidR="0042117C" w:rsidRPr="003721DF">
              <w:rPr>
                <w:rFonts w:ascii="Times New Roman" w:hAnsi="Times New Roman"/>
                <w:sz w:val="24"/>
                <w:szCs w:val="24"/>
              </w:rPr>
              <w:t>реімбурсацію</w:t>
            </w:r>
            <w:proofErr w:type="spellEnd"/>
            <w:r w:rsidR="0042117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117C" w:rsidRPr="003721DF" w:rsidRDefault="0042117C" w:rsidP="0042117C">
            <w:pPr>
              <w:pStyle w:val="a4"/>
              <w:numPr>
                <w:ilvl w:val="1"/>
                <w:numId w:val="9"/>
              </w:numPr>
              <w:tabs>
                <w:tab w:val="left" w:pos="1418"/>
              </w:tabs>
              <w:spacing w:after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Pr="003721DF">
              <w:rPr>
                <w:rFonts w:ascii="Times New Roman" w:hAnsi="Times New Roman"/>
                <w:sz w:val="24"/>
                <w:szCs w:val="24"/>
              </w:rPr>
              <w:t xml:space="preserve">нформує керівництво управління, Департаменту та відповідні структурні підрозділи Департаменту договірної роботи апарату НСЗУ про виявлені порушення умов </w:t>
            </w:r>
            <w:r w:rsidRPr="003721DF">
              <w:rPr>
                <w:rFonts w:ascii="Times New Roman" w:hAnsi="Times New Roman"/>
                <w:sz w:val="24"/>
                <w:szCs w:val="24"/>
              </w:rPr>
              <w:lastRenderedPageBreak/>
              <w:t>договорів про медичне обслуговування населення, про які стало відомо при виконанні покладених на відділ завдань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117C" w:rsidRPr="003721DF" w:rsidRDefault="0042117C" w:rsidP="0042117C">
            <w:pPr>
              <w:pStyle w:val="a4"/>
              <w:numPr>
                <w:ilvl w:val="1"/>
                <w:numId w:val="9"/>
              </w:numPr>
              <w:tabs>
                <w:tab w:val="left" w:pos="1418"/>
              </w:tabs>
              <w:spacing w:after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3721DF">
              <w:rPr>
                <w:rFonts w:ascii="Times New Roman" w:hAnsi="Times New Roman"/>
                <w:sz w:val="24"/>
                <w:szCs w:val="24"/>
              </w:rPr>
              <w:t>абезпечує:</w:t>
            </w:r>
          </w:p>
          <w:p w:rsidR="0042117C" w:rsidRPr="003721DF" w:rsidRDefault="0042117C" w:rsidP="0042117C">
            <w:pPr>
              <w:pStyle w:val="a4"/>
              <w:numPr>
                <w:ilvl w:val="0"/>
                <w:numId w:val="11"/>
              </w:numPr>
              <w:tabs>
                <w:tab w:val="left" w:pos="1701"/>
              </w:tabs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721DF">
              <w:rPr>
                <w:rFonts w:ascii="Times New Roman" w:hAnsi="Times New Roman"/>
                <w:sz w:val="24"/>
                <w:szCs w:val="24"/>
              </w:rPr>
              <w:t xml:space="preserve">истематизацію та первинну обробку заяв та запитів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надавачів медичних послуг та аптечних закладів </w:t>
            </w:r>
            <w:r w:rsidRPr="001125E9">
              <w:rPr>
                <w:rFonts w:ascii="Times New Roman" w:hAnsi="Times New Roman" w:cs="Calibri"/>
                <w:sz w:val="24"/>
                <w:szCs w:val="24"/>
              </w:rPr>
              <w:t>у регіоні</w:t>
            </w:r>
            <w:r w:rsidRPr="003721DF">
              <w:rPr>
                <w:rFonts w:ascii="Times New Roman" w:hAnsi="Times New Roman"/>
                <w:sz w:val="24"/>
                <w:szCs w:val="24"/>
              </w:rPr>
              <w:t xml:space="preserve"> для подальшого опрацювання їх у відповідних струк</w:t>
            </w:r>
            <w:r>
              <w:rPr>
                <w:rFonts w:ascii="Times New Roman" w:hAnsi="Times New Roman"/>
                <w:sz w:val="24"/>
                <w:szCs w:val="24"/>
              </w:rPr>
              <w:t>турних підрозділах апарату НСЗУ;</w:t>
            </w:r>
          </w:p>
          <w:p w:rsidR="0042117C" w:rsidRPr="003721DF" w:rsidRDefault="0042117C" w:rsidP="0042117C">
            <w:pPr>
              <w:pStyle w:val="a4"/>
              <w:numPr>
                <w:ilvl w:val="0"/>
                <w:numId w:val="11"/>
              </w:numPr>
              <w:tabs>
                <w:tab w:val="left" w:pos="1701"/>
              </w:tabs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3721DF">
              <w:rPr>
                <w:rFonts w:ascii="Times New Roman" w:hAnsi="Times New Roman"/>
                <w:sz w:val="24"/>
                <w:szCs w:val="24"/>
              </w:rPr>
              <w:t xml:space="preserve">ормування та надання статистичних та інформаційних даних керівництву управління та відповідним структурним підрозділам Департаменту договірної роботи апарату НСЗУ з питань, що </w:t>
            </w:r>
            <w:r>
              <w:rPr>
                <w:rFonts w:ascii="Times New Roman" w:hAnsi="Times New Roman"/>
                <w:sz w:val="24"/>
                <w:szCs w:val="24"/>
              </w:rPr>
              <w:t>належать до компетенції відділу;</w:t>
            </w:r>
          </w:p>
          <w:p w:rsidR="0042117C" w:rsidRPr="003721DF" w:rsidRDefault="0042117C" w:rsidP="0042117C">
            <w:pPr>
              <w:pStyle w:val="a4"/>
              <w:numPr>
                <w:ilvl w:val="0"/>
                <w:numId w:val="11"/>
              </w:numPr>
              <w:tabs>
                <w:tab w:val="left" w:pos="1276"/>
                <w:tab w:val="left" w:pos="1701"/>
              </w:tabs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721DF">
              <w:rPr>
                <w:rFonts w:ascii="Times New Roman" w:hAnsi="Times New Roman"/>
                <w:sz w:val="24"/>
                <w:szCs w:val="24"/>
              </w:rPr>
              <w:t>пільно з відповідними структурними підрозділами Департаменту договірної роботи апарату НСЗУ здійснює первинну обробку адвокатських запитів, депутатських запитів, запитів на отримання публічної інформації, звернень громадян, запитів юридичних осіб та фізичних осіб – підприємців, громадських формувань, державних органів та о</w:t>
            </w:r>
            <w:r>
              <w:rPr>
                <w:rFonts w:ascii="Times New Roman" w:hAnsi="Times New Roman"/>
                <w:sz w:val="24"/>
                <w:szCs w:val="24"/>
              </w:rPr>
              <w:t>рганів місцевого самоврядування;</w:t>
            </w:r>
          </w:p>
          <w:p w:rsidR="0042117C" w:rsidRPr="003721DF" w:rsidRDefault="00321B81" w:rsidP="0042117C">
            <w:pPr>
              <w:pStyle w:val="a4"/>
              <w:numPr>
                <w:ilvl w:val="1"/>
                <w:numId w:val="9"/>
              </w:numPr>
              <w:tabs>
                <w:tab w:val="left" w:pos="1276"/>
                <w:tab w:val="left" w:pos="1701"/>
              </w:tabs>
              <w:spacing w:after="0"/>
              <w:ind w:left="170" w:hanging="1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42117C" w:rsidRPr="003721DF">
              <w:rPr>
                <w:rFonts w:ascii="Times New Roman" w:hAnsi="Times New Roman"/>
                <w:sz w:val="24"/>
                <w:szCs w:val="24"/>
              </w:rPr>
              <w:t xml:space="preserve"> межах компетенції:</w:t>
            </w:r>
          </w:p>
          <w:p w:rsidR="0042117C" w:rsidRPr="003721DF" w:rsidRDefault="0042117C" w:rsidP="0042117C">
            <w:pPr>
              <w:pStyle w:val="a4"/>
              <w:numPr>
                <w:ilvl w:val="2"/>
                <w:numId w:val="12"/>
              </w:numPr>
              <w:tabs>
                <w:tab w:val="left" w:pos="1701"/>
              </w:tabs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3721DF">
              <w:rPr>
                <w:rFonts w:ascii="Times New Roman" w:hAnsi="Times New Roman"/>
                <w:sz w:val="24"/>
                <w:szCs w:val="24"/>
              </w:rPr>
              <w:t xml:space="preserve">дійснює інформування населення регіону про реалізацію програми медичних гарантій, організовує роз’яснювальну роботу, пов’язану з практикою застосування законодавства з питань, що належать до </w:t>
            </w:r>
            <w:r>
              <w:rPr>
                <w:rFonts w:ascii="Times New Roman" w:hAnsi="Times New Roman"/>
                <w:sz w:val="24"/>
                <w:szCs w:val="24"/>
              </w:rPr>
              <w:t>компетенції та повноважень НСЗУ;</w:t>
            </w:r>
          </w:p>
          <w:p w:rsidR="0042117C" w:rsidRPr="003721DF" w:rsidRDefault="0042117C" w:rsidP="0042117C">
            <w:pPr>
              <w:pStyle w:val="a4"/>
              <w:numPr>
                <w:ilvl w:val="2"/>
                <w:numId w:val="12"/>
              </w:numPr>
              <w:tabs>
                <w:tab w:val="left" w:pos="1701"/>
              </w:tabs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3721DF">
              <w:rPr>
                <w:rFonts w:ascii="Times New Roman" w:hAnsi="Times New Roman"/>
                <w:sz w:val="24"/>
                <w:szCs w:val="24"/>
              </w:rPr>
              <w:t xml:space="preserve">абезпечує створення можливості для реалізації пацієнтами їх </w:t>
            </w:r>
            <w:r w:rsidR="00321B81">
              <w:rPr>
                <w:rFonts w:ascii="Times New Roman" w:hAnsi="Times New Roman"/>
                <w:sz w:val="24"/>
                <w:szCs w:val="24"/>
              </w:rPr>
              <w:t xml:space="preserve">прав </w:t>
            </w:r>
            <w:r w:rsidRPr="003721DF">
              <w:rPr>
                <w:rFonts w:ascii="Times New Roman" w:hAnsi="Times New Roman"/>
                <w:sz w:val="24"/>
                <w:szCs w:val="24"/>
              </w:rPr>
              <w:t xml:space="preserve">шляхом надання роз’яснень стосовно, зокрема, але не виключно, програми медичних гарантій, діяльності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надавачів медичних послуг та аптечних закладів </w:t>
            </w:r>
            <w:r w:rsidRPr="001125E9">
              <w:rPr>
                <w:rFonts w:ascii="Times New Roman" w:hAnsi="Times New Roman" w:cs="Calibri"/>
                <w:sz w:val="24"/>
                <w:szCs w:val="24"/>
              </w:rPr>
              <w:t>у регіоні</w:t>
            </w:r>
            <w:r w:rsidRPr="003721DF">
              <w:rPr>
                <w:rFonts w:ascii="Times New Roman" w:hAnsi="Times New Roman"/>
                <w:sz w:val="24"/>
                <w:szCs w:val="24"/>
              </w:rPr>
              <w:t xml:space="preserve">, лікарів, що працюють у таких </w:t>
            </w:r>
            <w:r>
              <w:rPr>
                <w:rFonts w:ascii="Times New Roman" w:hAnsi="Times New Roman"/>
                <w:sz w:val="24"/>
                <w:szCs w:val="24"/>
              </w:rPr>
              <w:t>надавачів медичних послуг</w:t>
            </w:r>
            <w:r>
              <w:rPr>
                <w:rFonts w:ascii="Times New Roman" w:hAnsi="Times New Roman" w:cs="Calibri"/>
                <w:sz w:val="24"/>
                <w:szCs w:val="24"/>
              </w:rPr>
              <w:t>;</w:t>
            </w:r>
          </w:p>
          <w:p w:rsidR="0042117C" w:rsidRPr="003721DF" w:rsidRDefault="0042117C" w:rsidP="0042117C">
            <w:pPr>
              <w:pStyle w:val="a4"/>
              <w:numPr>
                <w:ilvl w:val="2"/>
                <w:numId w:val="12"/>
              </w:numPr>
              <w:tabs>
                <w:tab w:val="left" w:pos="1701"/>
              </w:tabs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721DF">
              <w:rPr>
                <w:rFonts w:ascii="Times New Roman" w:hAnsi="Times New Roman"/>
                <w:sz w:val="24"/>
                <w:szCs w:val="24"/>
              </w:rPr>
              <w:t>алагоджує та підтримує партнерські відносини з населенням та інститутами громадянського суспільства регіону для ефективного виконання завдань та функцій відділу, управління та Департаменту і підвищення довіри населення до них.</w:t>
            </w:r>
          </w:p>
        </w:tc>
      </w:tr>
      <w:tr w:rsidR="00EB2F3A" w:rsidRPr="00ED5991" w:rsidTr="004D32F5">
        <w:trPr>
          <w:trHeight w:val="2227"/>
          <w:tblCellSpacing w:w="22" w:type="dxa"/>
        </w:trPr>
        <w:tc>
          <w:tcPr>
            <w:tcW w:w="1844" w:type="pct"/>
            <w:gridSpan w:val="2"/>
          </w:tcPr>
          <w:p w:rsidR="00EB2F3A" w:rsidRPr="00ED5991" w:rsidRDefault="00EB2F3A" w:rsidP="009256A7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lastRenderedPageBreak/>
              <w:t>Умови оплати праці</w:t>
            </w:r>
          </w:p>
        </w:tc>
        <w:tc>
          <w:tcPr>
            <w:tcW w:w="3091" w:type="pct"/>
          </w:tcPr>
          <w:p w:rsidR="00EB2F3A" w:rsidRPr="00F5182D" w:rsidRDefault="00EB2F3A" w:rsidP="009256A7">
            <w:pPr>
              <w:pStyle w:val="rvps14"/>
              <w:numPr>
                <w:ilvl w:val="0"/>
                <w:numId w:val="2"/>
              </w:numPr>
              <w:spacing w:before="0" w:beforeAutospacing="0" w:after="0" w:afterAutospacing="0"/>
              <w:ind w:left="180" w:hanging="180"/>
              <w:jc w:val="both"/>
              <w:rPr>
                <w:color w:val="000000" w:themeColor="text1"/>
              </w:rPr>
            </w:pPr>
            <w:r w:rsidRPr="00D91231">
              <w:t xml:space="preserve">посадовий оклад </w:t>
            </w:r>
            <w:r w:rsidRPr="00535285">
              <w:rPr>
                <w:b/>
              </w:rPr>
              <w:t xml:space="preserve">– </w:t>
            </w:r>
            <w:r w:rsidR="0042117C" w:rsidRPr="0042117C">
              <w:t>67</w:t>
            </w:r>
            <w:r w:rsidR="0068078F" w:rsidRPr="0042117C">
              <w:rPr>
                <w:color w:val="000000" w:themeColor="text1"/>
              </w:rPr>
              <w:t>0</w:t>
            </w:r>
            <w:r w:rsidRPr="0042117C">
              <w:rPr>
                <w:color w:val="000000" w:themeColor="text1"/>
              </w:rPr>
              <w:t>0 грн</w:t>
            </w:r>
            <w:r w:rsidRPr="00F5182D">
              <w:rPr>
                <w:color w:val="000000" w:themeColor="text1"/>
              </w:rPr>
              <w:t>;</w:t>
            </w:r>
          </w:p>
          <w:p w:rsidR="00EB2F3A" w:rsidRDefault="00EB2F3A" w:rsidP="009256A7">
            <w:pPr>
              <w:numPr>
                <w:ilvl w:val="0"/>
                <w:numId w:val="1"/>
              </w:numPr>
              <w:spacing w:line="240" w:lineRule="auto"/>
              <w:ind w:left="180" w:right="113" w:hanging="180"/>
              <w:jc w:val="both"/>
              <w:rPr>
                <w:sz w:val="24"/>
                <w:szCs w:val="24"/>
                <w:lang w:eastAsia="ru-RU"/>
              </w:rPr>
            </w:pPr>
            <w:r w:rsidRPr="00D91231">
              <w:rPr>
                <w:sz w:val="24"/>
                <w:szCs w:val="24"/>
                <w:lang w:eastAsia="ru-RU"/>
              </w:rPr>
              <w:t>надбавка за вислугу років у розмірі, визначеному статтею 52 Закону України “Про державну службу”;</w:t>
            </w:r>
          </w:p>
          <w:p w:rsidR="00EB2F3A" w:rsidRPr="00FD11AB" w:rsidRDefault="00EB2F3A" w:rsidP="009256A7">
            <w:pPr>
              <w:numPr>
                <w:ilvl w:val="0"/>
                <w:numId w:val="1"/>
              </w:numPr>
              <w:spacing w:line="240" w:lineRule="auto"/>
              <w:ind w:left="180" w:right="113" w:hanging="180"/>
              <w:jc w:val="both"/>
              <w:rPr>
                <w:sz w:val="24"/>
                <w:szCs w:val="24"/>
                <w:lang w:eastAsia="ru-RU"/>
              </w:rPr>
            </w:pPr>
            <w:r w:rsidRPr="00FD11AB">
              <w:rPr>
                <w:sz w:val="24"/>
                <w:szCs w:val="24"/>
                <w:lang w:eastAsia="ru-RU"/>
              </w:rPr>
              <w:t xml:space="preserve">надбавка за ранг державного службовця відповідно до вимог постанови Кабінету Міністрів України </w:t>
            </w:r>
            <w:r>
              <w:rPr>
                <w:sz w:val="24"/>
                <w:szCs w:val="24"/>
                <w:lang w:eastAsia="ru-RU"/>
              </w:rPr>
              <w:t xml:space="preserve">                                   </w:t>
            </w:r>
            <w:r w:rsidRPr="00FD11AB">
              <w:rPr>
                <w:sz w:val="24"/>
                <w:szCs w:val="24"/>
                <w:lang w:eastAsia="ru-RU"/>
              </w:rPr>
              <w:t>від 18.01.2017 № 15 “Деякі питання оплати праці п</w:t>
            </w:r>
            <w:r>
              <w:rPr>
                <w:sz w:val="24"/>
                <w:szCs w:val="24"/>
                <w:lang w:eastAsia="ru-RU"/>
              </w:rPr>
              <w:t>рацівників державних органів” (зі змінами)</w:t>
            </w:r>
          </w:p>
        </w:tc>
      </w:tr>
      <w:tr w:rsidR="00EB2F3A" w:rsidRPr="00ED5991" w:rsidTr="0042117C">
        <w:trPr>
          <w:tblCellSpacing w:w="22" w:type="dxa"/>
        </w:trPr>
        <w:tc>
          <w:tcPr>
            <w:tcW w:w="1844" w:type="pct"/>
            <w:gridSpan w:val="2"/>
          </w:tcPr>
          <w:p w:rsidR="00EB2F3A" w:rsidRPr="00ED5991" w:rsidRDefault="00EB2F3A" w:rsidP="009256A7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3091" w:type="pct"/>
          </w:tcPr>
          <w:p w:rsidR="00EB2F3A" w:rsidRDefault="00EB2F3A" w:rsidP="009256A7">
            <w:pPr>
              <w:spacing w:line="240" w:lineRule="auto"/>
              <w:ind w:firstLine="51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безстроково;</w:t>
            </w:r>
          </w:p>
          <w:p w:rsidR="00EB2F3A" w:rsidRPr="00ED5915" w:rsidRDefault="00EB2F3A" w:rsidP="009256A7">
            <w:pPr>
              <w:spacing w:line="240" w:lineRule="auto"/>
              <w:ind w:firstLine="51"/>
              <w:jc w:val="both"/>
              <w:textAlignment w:val="baseline"/>
              <w:rPr>
                <w:sz w:val="16"/>
                <w:szCs w:val="16"/>
              </w:rPr>
            </w:pPr>
          </w:p>
          <w:p w:rsidR="00EB2F3A" w:rsidRPr="00ED5991" w:rsidRDefault="00EB2F3A" w:rsidP="009256A7">
            <w:pPr>
              <w:pStyle w:val="rvps14"/>
              <w:spacing w:before="0" w:beforeAutospacing="0" w:after="0" w:afterAutospacing="0"/>
              <w:jc w:val="both"/>
            </w:pPr>
            <w: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EB2F3A" w:rsidRPr="00ED5991" w:rsidTr="0042117C">
        <w:trPr>
          <w:tblCellSpacing w:w="22" w:type="dxa"/>
        </w:trPr>
        <w:tc>
          <w:tcPr>
            <w:tcW w:w="1844" w:type="pct"/>
            <w:gridSpan w:val="2"/>
          </w:tcPr>
          <w:p w:rsidR="00EB2F3A" w:rsidRPr="00ED5991" w:rsidRDefault="00EB2F3A" w:rsidP="009256A7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 xml:space="preserve">Перелік </w:t>
            </w:r>
            <w:r>
              <w:rPr>
                <w:rFonts w:cs="Times New Roman"/>
                <w:sz w:val="24"/>
                <w:szCs w:val="24"/>
                <w:lang w:eastAsia="ru-RU"/>
              </w:rPr>
              <w:t>інформації, необхідної для участі в конкурсі, та строк її подання</w:t>
            </w:r>
          </w:p>
        </w:tc>
        <w:tc>
          <w:tcPr>
            <w:tcW w:w="3091" w:type="pct"/>
          </w:tcPr>
          <w:p w:rsidR="00EB2F3A" w:rsidRPr="00D3154A" w:rsidRDefault="00EB2F3A" w:rsidP="009256A7">
            <w:pPr>
              <w:pStyle w:val="rvps14"/>
              <w:numPr>
                <w:ilvl w:val="0"/>
                <w:numId w:val="2"/>
              </w:numPr>
              <w:spacing w:before="0" w:beforeAutospacing="0" w:after="0" w:afterAutospacing="0"/>
              <w:ind w:left="180" w:hanging="180"/>
              <w:jc w:val="both"/>
            </w:pPr>
            <w:r w:rsidRPr="00D3154A">
              <w:t xml:space="preserve">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</w:t>
            </w:r>
            <w:r w:rsidRPr="00D3154A">
              <w:lastRenderedPageBreak/>
              <w:t>посад державної служби, затвердженого постановою Кабінету Міністрів України від 25 березня 2016 р. № 246 (зі змінами);</w:t>
            </w:r>
          </w:p>
          <w:p w:rsidR="00EB2F3A" w:rsidRPr="00D3154A" w:rsidRDefault="00EB2F3A" w:rsidP="009256A7">
            <w:pPr>
              <w:pStyle w:val="rvps14"/>
              <w:numPr>
                <w:ilvl w:val="0"/>
                <w:numId w:val="2"/>
              </w:numPr>
              <w:spacing w:before="0" w:beforeAutospacing="0" w:after="0" w:afterAutospacing="0"/>
              <w:ind w:left="180" w:hanging="180"/>
              <w:jc w:val="both"/>
            </w:pPr>
            <w:r w:rsidRPr="00D3154A">
              <w:t>резюме за формою згідно з додатком 2</w:t>
            </w:r>
            <w:r w:rsidRPr="00D3154A">
              <w:rPr>
                <w:vertAlign w:val="superscript"/>
              </w:rPr>
              <w:t>1</w:t>
            </w:r>
            <w:r w:rsidRPr="00D3154A">
              <w:t xml:space="preserve"> до Порядку проведення конкурсу на зайняття посад державної служби, затвердженого постано</w:t>
            </w:r>
            <w:r w:rsidR="00EF7491">
              <w:t xml:space="preserve">вою Кабінету Міністрів України  </w:t>
            </w:r>
            <w:r w:rsidRPr="00D3154A">
              <w:t>від 25 березня 2016 р. № 246 (зі змінами), в якому обов’язково зазначається така інформація:</w:t>
            </w:r>
          </w:p>
          <w:p w:rsidR="00EB2F3A" w:rsidRPr="00D3154A" w:rsidRDefault="00EB2F3A" w:rsidP="009256A7">
            <w:pPr>
              <w:pStyle w:val="rvps14"/>
              <w:spacing w:before="0" w:beforeAutospacing="0" w:after="0" w:afterAutospacing="0"/>
              <w:ind w:left="180"/>
              <w:jc w:val="both"/>
            </w:pPr>
            <w:r w:rsidRPr="00D3154A">
              <w:t xml:space="preserve">прізвище, </w:t>
            </w:r>
            <w:proofErr w:type="spellStart"/>
            <w:r w:rsidRPr="00D3154A">
              <w:t>ім</w:t>
            </w:r>
            <w:proofErr w:type="spellEnd"/>
            <w:r w:rsidRPr="00D3154A">
              <w:rPr>
                <w:lang w:val="ru-RU"/>
              </w:rPr>
              <w:t>’</w:t>
            </w:r>
            <w:r w:rsidRPr="00D3154A">
              <w:t>я, по батькові кандидата;</w:t>
            </w:r>
          </w:p>
          <w:p w:rsidR="00EB2F3A" w:rsidRPr="00D3154A" w:rsidRDefault="00EB2F3A" w:rsidP="009256A7">
            <w:pPr>
              <w:pStyle w:val="rvps14"/>
              <w:spacing w:before="0" w:beforeAutospacing="0" w:after="0" w:afterAutospacing="0"/>
              <w:ind w:left="180"/>
              <w:jc w:val="both"/>
            </w:pPr>
            <w:r w:rsidRPr="00D3154A">
              <w:t>реквізити документа, що посвідчує особу та підтверджує громадянство України;</w:t>
            </w:r>
          </w:p>
          <w:p w:rsidR="00EB2F3A" w:rsidRPr="00D3154A" w:rsidRDefault="00EB2F3A" w:rsidP="009256A7">
            <w:pPr>
              <w:pStyle w:val="rvps14"/>
              <w:spacing w:before="0" w:beforeAutospacing="0" w:after="0" w:afterAutospacing="0"/>
              <w:ind w:left="180"/>
              <w:jc w:val="both"/>
            </w:pPr>
            <w:r w:rsidRPr="00D3154A">
              <w:t>підтвердження наявності відповідного ступеня вищої освіти;</w:t>
            </w:r>
          </w:p>
          <w:p w:rsidR="00EB2F3A" w:rsidRPr="00D3154A" w:rsidRDefault="00EB2F3A" w:rsidP="009256A7">
            <w:pPr>
              <w:pStyle w:val="rvps14"/>
              <w:spacing w:before="0" w:beforeAutospacing="0" w:after="0" w:afterAutospacing="0"/>
              <w:ind w:left="180"/>
              <w:jc w:val="both"/>
            </w:pPr>
            <w:r w:rsidRPr="00D3154A">
              <w:t>підтвердження рівня вільного володіння державною мовою;</w:t>
            </w:r>
          </w:p>
          <w:p w:rsidR="00EB2F3A" w:rsidRPr="00D3154A" w:rsidRDefault="00EB2F3A" w:rsidP="009256A7">
            <w:pPr>
              <w:pStyle w:val="rvps14"/>
              <w:spacing w:before="0" w:beforeAutospacing="0" w:after="0" w:afterAutospacing="0"/>
              <w:ind w:left="180"/>
              <w:jc w:val="both"/>
            </w:pPr>
            <w:r w:rsidRPr="00D3154A">
              <w:t>відомості про стаж роботи, стаж державної служби (за наявності), досвід роботи на відповідних посадах;</w:t>
            </w:r>
          </w:p>
          <w:p w:rsidR="00EB2F3A" w:rsidRPr="00D3154A" w:rsidRDefault="00EB2F3A" w:rsidP="009256A7">
            <w:pPr>
              <w:pStyle w:val="rvps14"/>
              <w:numPr>
                <w:ilvl w:val="0"/>
                <w:numId w:val="2"/>
              </w:numPr>
              <w:spacing w:before="0" w:beforeAutospacing="0" w:after="0" w:afterAutospacing="0"/>
              <w:ind w:left="180" w:hanging="180"/>
              <w:jc w:val="both"/>
            </w:pPr>
            <w:r w:rsidRPr="00D3154A">
              <w:t>заява, в якій особа повідомляє, що до неї не застосовуються заборони, визначені частиною третьою або четвертою статті 1 Закону України “Про очищення влади”,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EB2F3A" w:rsidRPr="00D3154A" w:rsidRDefault="00EB2F3A" w:rsidP="009256A7">
            <w:pPr>
              <w:pStyle w:val="a5"/>
              <w:spacing w:before="0" w:line="276" w:lineRule="auto"/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54A">
              <w:rPr>
                <w:rFonts w:ascii="Times New Roman" w:hAnsi="Times New Roman"/>
                <w:sz w:val="24"/>
                <w:szCs w:val="24"/>
              </w:rPr>
              <w:t>Подача додатків до заяви не є обов’язковою.</w:t>
            </w:r>
          </w:p>
          <w:p w:rsidR="00EB2F3A" w:rsidRPr="00FB2759" w:rsidRDefault="00EB2F3A" w:rsidP="009256A7">
            <w:pPr>
              <w:pStyle w:val="a5"/>
              <w:spacing w:before="0" w:line="276" w:lineRule="auto"/>
              <w:ind w:left="170" w:firstLine="0"/>
              <w:jc w:val="both"/>
              <w:rPr>
                <w:rFonts w:ascii="Times New Roman" w:hAnsi="Times New Roman"/>
                <w:sz w:val="20"/>
              </w:rPr>
            </w:pPr>
          </w:p>
          <w:p w:rsidR="00EB2F3A" w:rsidRPr="00D3154A" w:rsidRDefault="00EB2F3A" w:rsidP="009256A7">
            <w:pPr>
              <w:pStyle w:val="rvps14"/>
              <w:spacing w:before="0" w:beforeAutospacing="0" w:after="0" w:afterAutospacing="0"/>
              <w:ind w:left="180"/>
              <w:jc w:val="both"/>
              <w:rPr>
                <w:color w:val="000000"/>
              </w:rPr>
            </w:pPr>
            <w:r w:rsidRPr="00D3154A">
              <w:t xml:space="preserve">Особа, яка бажає взяти участь у конкурсі, може подати конкурсній комісії інформацію через Єдиний портал вакансій державної служби за посиланням </w:t>
            </w:r>
            <w:hyperlink r:id="rId5" w:history="1">
              <w:r w:rsidRPr="00D3154A">
                <w:rPr>
                  <w:rStyle w:val="a3"/>
                  <w:rFonts w:eastAsiaTheme="majorEastAsia"/>
                  <w:color w:val="000000"/>
                </w:rPr>
                <w:t>https://career.gov.ua/</w:t>
              </w:r>
            </w:hyperlink>
            <w:r w:rsidRPr="00D3154A">
              <w:rPr>
                <w:color w:val="000000"/>
              </w:rPr>
              <w:t>.</w:t>
            </w:r>
          </w:p>
          <w:p w:rsidR="00EB2F3A" w:rsidRPr="00FB2759" w:rsidRDefault="00EB2F3A" w:rsidP="009256A7">
            <w:pPr>
              <w:jc w:val="both"/>
              <w:textAlignment w:val="baseline"/>
              <w:rPr>
                <w:spacing w:val="-6"/>
                <w:sz w:val="20"/>
                <w:szCs w:val="20"/>
              </w:rPr>
            </w:pPr>
          </w:p>
          <w:p w:rsidR="00EB2F3A" w:rsidRPr="00D3154A" w:rsidRDefault="00EB2F3A" w:rsidP="004D32F5">
            <w:pPr>
              <w:pStyle w:val="rvps14"/>
              <w:spacing w:before="0" w:beforeAutospacing="0" w:after="0" w:afterAutospacing="0" w:line="276" w:lineRule="auto"/>
              <w:ind w:left="180"/>
              <w:jc w:val="both"/>
            </w:pPr>
            <w:r w:rsidRPr="00685A94">
              <w:t>Інформац</w:t>
            </w:r>
            <w:r w:rsidR="00BE0602" w:rsidRPr="00685A94">
              <w:t>ія приймається до 17</w:t>
            </w:r>
            <w:r w:rsidR="00D12832">
              <w:t> </w:t>
            </w:r>
            <w:r w:rsidR="00BE0602" w:rsidRPr="00685A94">
              <w:t>год 00</w:t>
            </w:r>
            <w:r w:rsidR="00D12832">
              <w:t> </w:t>
            </w:r>
            <w:r w:rsidR="00BE0602" w:rsidRPr="00685A94">
              <w:t xml:space="preserve">хв </w:t>
            </w:r>
            <w:r w:rsidR="004D32F5">
              <w:t>10</w:t>
            </w:r>
            <w:r w:rsidRPr="00685A94">
              <w:t xml:space="preserve"> </w:t>
            </w:r>
            <w:r w:rsidR="000D1520">
              <w:t>серпня</w:t>
            </w:r>
            <w:r w:rsidRPr="00685A94">
              <w:t xml:space="preserve">                      2021 року</w:t>
            </w:r>
          </w:p>
        </w:tc>
      </w:tr>
      <w:tr w:rsidR="00EB2F3A" w:rsidRPr="00ED5991" w:rsidTr="0042117C">
        <w:trPr>
          <w:tblCellSpacing w:w="22" w:type="dxa"/>
        </w:trPr>
        <w:tc>
          <w:tcPr>
            <w:tcW w:w="1844" w:type="pct"/>
            <w:gridSpan w:val="2"/>
          </w:tcPr>
          <w:p w:rsidR="00EB2F3A" w:rsidRPr="00ED5991" w:rsidRDefault="00EB2F3A" w:rsidP="009256A7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lastRenderedPageBreak/>
              <w:t>Додаткові (необов’язкові) документи</w:t>
            </w:r>
          </w:p>
        </w:tc>
        <w:tc>
          <w:tcPr>
            <w:tcW w:w="3091" w:type="pct"/>
          </w:tcPr>
          <w:p w:rsidR="00EB2F3A" w:rsidRDefault="00EB2F3A" w:rsidP="009256A7">
            <w:pPr>
              <w:spacing w:line="240" w:lineRule="auto"/>
              <w:jc w:val="both"/>
              <w:textAlignment w:val="baseline"/>
              <w:rPr>
                <w:sz w:val="24"/>
                <w:szCs w:val="24"/>
              </w:rPr>
            </w:pPr>
            <w:r w:rsidRPr="00D3154A">
              <w:rPr>
                <w:sz w:val="24"/>
                <w:szCs w:val="24"/>
              </w:rPr>
              <w:t xml:space="preserve">Заява щодо забезпечення розумним пристосуванням за формою згідно з додатком 3 до Порядку проведення конкурсу на зайняття посад державної служби, затвердженого постановою Кабінету Міністрів України </w:t>
            </w:r>
            <w:r>
              <w:rPr>
                <w:sz w:val="24"/>
                <w:szCs w:val="24"/>
              </w:rPr>
              <w:t xml:space="preserve">                </w:t>
            </w:r>
            <w:r w:rsidRPr="00D3154A">
              <w:rPr>
                <w:sz w:val="24"/>
                <w:szCs w:val="24"/>
              </w:rPr>
              <w:t xml:space="preserve">від 25 березня 2016 року № 246 </w:t>
            </w:r>
          </w:p>
          <w:p w:rsidR="00685A94" w:rsidRPr="00D3154A" w:rsidRDefault="00685A94" w:rsidP="009256A7">
            <w:pPr>
              <w:spacing w:line="240" w:lineRule="auto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EB2F3A" w:rsidRPr="00ED5991" w:rsidTr="0042117C">
        <w:trPr>
          <w:tblCellSpacing w:w="22" w:type="dxa"/>
        </w:trPr>
        <w:tc>
          <w:tcPr>
            <w:tcW w:w="1844" w:type="pct"/>
            <w:gridSpan w:val="2"/>
          </w:tcPr>
          <w:p w:rsidR="00EB2F3A" w:rsidRDefault="00EB2F3A" w:rsidP="009256A7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ED5991">
              <w:rPr>
                <w:color w:val="000000"/>
                <w:sz w:val="24"/>
                <w:szCs w:val="24"/>
                <w:shd w:val="clear" w:color="auto" w:fill="FFFFFF"/>
              </w:rPr>
              <w:t xml:space="preserve">ата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і час </w:t>
            </w:r>
            <w:r w:rsidRPr="00ED5991">
              <w:rPr>
                <w:color w:val="000000"/>
                <w:sz w:val="24"/>
                <w:szCs w:val="24"/>
                <w:shd w:val="clear" w:color="auto" w:fill="FFFFFF"/>
              </w:rPr>
              <w:t xml:space="preserve">початку проведення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тестування кандидатів. </w:t>
            </w:r>
          </w:p>
          <w:p w:rsidR="00EB2F3A" w:rsidRDefault="00EB2F3A" w:rsidP="009256A7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Місце або спосіб проведення тестування. </w:t>
            </w:r>
          </w:p>
          <w:p w:rsidR="00EB2F3A" w:rsidRDefault="00EB2F3A" w:rsidP="009256A7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EB2F3A" w:rsidRDefault="00EB2F3A" w:rsidP="009256A7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EB2F3A" w:rsidRDefault="00EB2F3A" w:rsidP="009256A7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EB2F3A" w:rsidRDefault="00EB2F3A" w:rsidP="009256A7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EB2F3A" w:rsidRDefault="00EB2F3A" w:rsidP="009256A7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EB2F3A" w:rsidRDefault="00EB2F3A" w:rsidP="009256A7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4D32F5" w:rsidRDefault="004D32F5" w:rsidP="009256A7">
            <w:p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EB2F3A" w:rsidRPr="00ED5991" w:rsidRDefault="00EB2F3A" w:rsidP="009256A7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3091" w:type="pct"/>
          </w:tcPr>
          <w:p w:rsidR="00EB2F3A" w:rsidRPr="00D3154A" w:rsidRDefault="004D32F5" w:rsidP="009256A7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  <w:r w:rsidR="00EB2F3A" w:rsidRPr="00685A94">
              <w:rPr>
                <w:sz w:val="24"/>
                <w:szCs w:val="24"/>
              </w:rPr>
              <w:t xml:space="preserve"> </w:t>
            </w:r>
            <w:r w:rsidR="000D1520">
              <w:rPr>
                <w:sz w:val="24"/>
                <w:szCs w:val="24"/>
              </w:rPr>
              <w:t>серпня</w:t>
            </w:r>
            <w:r w:rsidR="00EB2F3A" w:rsidRPr="00685A94">
              <w:rPr>
                <w:sz w:val="24"/>
                <w:szCs w:val="24"/>
              </w:rPr>
              <w:t xml:space="preserve"> 2021 року о 10 год 00 хв.</w:t>
            </w:r>
          </w:p>
          <w:p w:rsidR="00EB2F3A" w:rsidRDefault="00EB2F3A" w:rsidP="009256A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D3154A">
              <w:rPr>
                <w:sz w:val="24"/>
                <w:szCs w:val="24"/>
              </w:rPr>
              <w:t>Тестування проводиться дистанційно шляхом використання кандидатом комп’ютерної техніки та підключення через особистий кабінет на Єдиному порталі вакансій державної  служби. За результатами тестування формується звіт</w:t>
            </w:r>
            <w:r>
              <w:rPr>
                <w:sz w:val="24"/>
                <w:szCs w:val="24"/>
              </w:rPr>
              <w:t>,</w:t>
            </w:r>
            <w:r w:rsidRPr="00D3154A">
              <w:rPr>
                <w:sz w:val="24"/>
                <w:szCs w:val="24"/>
              </w:rPr>
              <w:t xml:space="preserve"> який засвідчується кандидатом шляхом накладення кваліфікованого електронного підпису.</w:t>
            </w:r>
          </w:p>
          <w:p w:rsidR="00BE0602" w:rsidRDefault="00BE0602" w:rsidP="009256A7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EB2F3A" w:rsidRPr="00D3154A" w:rsidRDefault="00EB2F3A" w:rsidP="009256A7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</w:pPr>
            <w:r w:rsidRPr="00D31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Проведення</w:t>
            </w:r>
            <w:r w:rsidRPr="00D31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співбесіди дистанційно</w:t>
            </w:r>
            <w:r w:rsidRPr="00D3154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31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(платформа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Google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Meet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 xml:space="preserve">, необхідно мати активний обліковий запис </w:t>
            </w:r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  <w:lang w:val="en-US"/>
              </w:rPr>
              <w:t>G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oogle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</w:rPr>
              <w:t>).</w:t>
            </w:r>
          </w:p>
          <w:p w:rsidR="00EB2F3A" w:rsidRPr="00D3154A" w:rsidRDefault="00EB2F3A" w:rsidP="009256A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EB2F3A" w:rsidRDefault="00EB2F3A" w:rsidP="009256A7">
            <w:pPr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EB2F3A" w:rsidRPr="00D3154A" w:rsidRDefault="00EB2F3A" w:rsidP="009256A7">
            <w:pPr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EB2F3A" w:rsidRPr="00D3154A" w:rsidRDefault="00EB2F3A" w:rsidP="009256A7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lastRenderedPageBreak/>
              <w:t>Проведення</w:t>
            </w: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співбесіди </w:t>
            </w: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керівником державної служби або уповноваженою ним особою </w:t>
            </w: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дистанційно</w:t>
            </w:r>
            <w:r w:rsidRPr="00D3154A">
              <w:rPr>
                <w:color w:val="auto"/>
                <w:sz w:val="24"/>
                <w:szCs w:val="24"/>
              </w:rPr>
              <w:t xml:space="preserve"> </w:t>
            </w:r>
            <w:r w:rsidRPr="00D315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(платформа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Google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Meet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, необхідно мати активний обліковий запис </w:t>
            </w:r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en-US"/>
              </w:rPr>
              <w:t>G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oogle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) або за фізичної присутності кандидата (м. Київ, </w:t>
            </w:r>
            <w:proofErr w:type="spellStart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просп</w:t>
            </w:r>
            <w:proofErr w:type="spellEnd"/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 Степана Бандери, 19).</w:t>
            </w:r>
          </w:p>
          <w:p w:rsidR="00EB2F3A" w:rsidRPr="00D3154A" w:rsidRDefault="00EB2F3A" w:rsidP="009256A7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D315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Інформацію щодо зазначеного формату зустрічі буде надано додатково.</w:t>
            </w:r>
          </w:p>
          <w:p w:rsidR="00EB2F3A" w:rsidRPr="00D3154A" w:rsidRDefault="00EB2F3A" w:rsidP="009256A7">
            <w:pPr>
              <w:tabs>
                <w:tab w:val="left" w:pos="785"/>
              </w:tabs>
              <w:spacing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D3154A">
              <w:rPr>
                <w:sz w:val="24"/>
                <w:szCs w:val="24"/>
              </w:rPr>
              <w:t xml:space="preserve">Учасникам конкурсу при собі необхідно мати паспорт громадянина України або інший документ, який посвідчує особу та підтверджує громадянство України </w:t>
            </w:r>
          </w:p>
        </w:tc>
      </w:tr>
      <w:tr w:rsidR="00EB2F3A" w:rsidRPr="00ED5991" w:rsidTr="0042117C">
        <w:trPr>
          <w:tblCellSpacing w:w="22" w:type="dxa"/>
        </w:trPr>
        <w:tc>
          <w:tcPr>
            <w:tcW w:w="1844" w:type="pct"/>
            <w:gridSpan w:val="2"/>
          </w:tcPr>
          <w:p w:rsidR="00EB2F3A" w:rsidRDefault="00EB2F3A" w:rsidP="009256A7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lastRenderedPageBreak/>
              <w:t>Прізвище, ім</w:t>
            </w:r>
            <w:r>
              <w:rPr>
                <w:rFonts w:cs="Times New Roman"/>
                <w:sz w:val="24"/>
                <w:szCs w:val="24"/>
                <w:lang w:eastAsia="ru-RU"/>
              </w:rPr>
              <w:t>’</w:t>
            </w:r>
            <w:r w:rsidRPr="00ED5991">
              <w:rPr>
                <w:rFonts w:cs="Times New Roman"/>
                <w:sz w:val="24"/>
                <w:szCs w:val="24"/>
                <w:lang w:eastAsia="ru-RU"/>
              </w:rPr>
              <w:t>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  <w:p w:rsidR="00EB2F3A" w:rsidRPr="00ED5991" w:rsidRDefault="00EB2F3A" w:rsidP="009256A7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1" w:type="pct"/>
          </w:tcPr>
          <w:p w:rsidR="000D1520" w:rsidRPr="00DA0AC7" w:rsidRDefault="000D1520" w:rsidP="000D1520">
            <w:pPr>
              <w:tabs>
                <w:tab w:val="left" w:pos="785"/>
              </w:tabs>
              <w:spacing w:line="240" w:lineRule="auto"/>
              <w:rPr>
                <w:sz w:val="24"/>
                <w:szCs w:val="24"/>
                <w:lang w:eastAsia="ru-RU"/>
              </w:rPr>
            </w:pPr>
            <w:r w:rsidRPr="00DA0AC7">
              <w:rPr>
                <w:sz w:val="24"/>
                <w:szCs w:val="24"/>
                <w:lang w:eastAsia="ru-RU"/>
              </w:rPr>
              <w:t xml:space="preserve">Федько Наталія Миколаївна, </w:t>
            </w:r>
            <w:proofErr w:type="spellStart"/>
            <w:r w:rsidRPr="00DA0AC7">
              <w:rPr>
                <w:sz w:val="24"/>
                <w:szCs w:val="24"/>
                <w:lang w:eastAsia="ru-RU"/>
              </w:rPr>
              <w:t>тел</w:t>
            </w:r>
            <w:proofErr w:type="spellEnd"/>
            <w:r w:rsidRPr="00DA0AC7">
              <w:rPr>
                <w:sz w:val="24"/>
                <w:szCs w:val="24"/>
                <w:lang w:eastAsia="ru-RU"/>
              </w:rPr>
              <w:t xml:space="preserve">. (044) 290-01-18, </w:t>
            </w:r>
          </w:p>
          <w:p w:rsidR="00EB2F3A" w:rsidRPr="00ED5991" w:rsidRDefault="000D1520" w:rsidP="000D1520">
            <w:pPr>
              <w:tabs>
                <w:tab w:val="left" w:pos="785"/>
              </w:tabs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DA0AC7">
              <w:rPr>
                <w:rFonts w:eastAsia="Calibri"/>
                <w:sz w:val="24"/>
                <w:szCs w:val="24"/>
                <w:lang w:val="en-US"/>
              </w:rPr>
              <w:t>nataliia</w:t>
            </w:r>
            <w:proofErr w:type="spellEnd"/>
            <w:r w:rsidRPr="00DA0AC7">
              <w:rPr>
                <w:rFonts w:eastAsia="Calibri"/>
                <w:sz w:val="24"/>
                <w:szCs w:val="24"/>
              </w:rPr>
              <w:t>.</w:t>
            </w:r>
            <w:proofErr w:type="spellStart"/>
            <w:r w:rsidRPr="00DA0AC7">
              <w:rPr>
                <w:rFonts w:eastAsia="Calibri"/>
                <w:sz w:val="24"/>
                <w:szCs w:val="24"/>
              </w:rPr>
              <w:t>fedko</w:t>
            </w:r>
            <w:proofErr w:type="spellEnd"/>
            <w:r w:rsidRPr="00DA0AC7">
              <w:rPr>
                <w:rFonts w:eastAsia="Calibri"/>
                <w:sz w:val="24"/>
                <w:szCs w:val="24"/>
              </w:rPr>
              <w:t>@</w:t>
            </w:r>
            <w:proofErr w:type="spellStart"/>
            <w:r w:rsidRPr="00DA0AC7">
              <w:rPr>
                <w:rFonts w:eastAsia="Calibri"/>
                <w:sz w:val="24"/>
                <w:szCs w:val="24"/>
                <w:lang w:val="en-US"/>
              </w:rPr>
              <w:t>nszu</w:t>
            </w:r>
            <w:proofErr w:type="spellEnd"/>
            <w:r w:rsidRPr="00DA0AC7">
              <w:rPr>
                <w:rFonts w:eastAsia="Calibri"/>
                <w:sz w:val="24"/>
                <w:szCs w:val="24"/>
              </w:rPr>
              <w:t>.</w:t>
            </w:r>
            <w:proofErr w:type="spellStart"/>
            <w:r w:rsidRPr="00DA0AC7">
              <w:rPr>
                <w:rFonts w:eastAsia="Calibri"/>
                <w:sz w:val="24"/>
                <w:szCs w:val="24"/>
                <w:lang w:val="en-US"/>
              </w:rPr>
              <w:t>gov</w:t>
            </w:r>
            <w:proofErr w:type="spellEnd"/>
            <w:r w:rsidRPr="00DA0AC7">
              <w:rPr>
                <w:rFonts w:eastAsia="Calibri"/>
                <w:sz w:val="24"/>
                <w:szCs w:val="24"/>
              </w:rPr>
              <w:t>.</w:t>
            </w:r>
            <w:proofErr w:type="spellStart"/>
            <w:r w:rsidRPr="00DA0AC7">
              <w:rPr>
                <w:rFonts w:eastAsia="Calibri"/>
                <w:sz w:val="24"/>
                <w:szCs w:val="24"/>
                <w:lang w:val="en-US"/>
              </w:rPr>
              <w:t>ua</w:t>
            </w:r>
            <w:proofErr w:type="spellEnd"/>
            <w:r w:rsidRPr="00ED599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B2F3A" w:rsidRPr="00ED5991" w:rsidTr="009256A7">
        <w:trPr>
          <w:tblCellSpacing w:w="22" w:type="dxa"/>
        </w:trPr>
        <w:tc>
          <w:tcPr>
            <w:tcW w:w="4957" w:type="pct"/>
            <w:gridSpan w:val="3"/>
          </w:tcPr>
          <w:p w:rsidR="00EB2F3A" w:rsidRPr="00DA0AC7" w:rsidRDefault="00EB2F3A" w:rsidP="009256A7">
            <w:pPr>
              <w:spacing w:line="240" w:lineRule="auto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DA0AC7">
              <w:rPr>
                <w:rFonts w:cs="Times New Roman"/>
                <w:b/>
                <w:szCs w:val="28"/>
                <w:lang w:eastAsia="ru-RU"/>
              </w:rPr>
              <w:t>Кваліфікаційні вимоги</w:t>
            </w:r>
          </w:p>
        </w:tc>
      </w:tr>
      <w:tr w:rsidR="00EB2F3A" w:rsidRPr="00ED5991" w:rsidTr="0042117C">
        <w:trPr>
          <w:tblCellSpacing w:w="22" w:type="dxa"/>
        </w:trPr>
        <w:tc>
          <w:tcPr>
            <w:tcW w:w="157" w:type="pct"/>
          </w:tcPr>
          <w:p w:rsidR="00EB2F3A" w:rsidRPr="00ED5991" w:rsidRDefault="00EB2F3A" w:rsidP="009256A7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66" w:type="pct"/>
          </w:tcPr>
          <w:p w:rsidR="00EB2F3A" w:rsidRPr="00ED5991" w:rsidRDefault="00EB2F3A" w:rsidP="009256A7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3091" w:type="pct"/>
          </w:tcPr>
          <w:p w:rsidR="00EB2F3A" w:rsidRDefault="00EB2F3A" w:rsidP="00BE0602">
            <w:pP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вища освіта за освітнім ступенем не нижче магістра </w:t>
            </w:r>
            <w:r>
              <w:rPr>
                <w:color w:val="000000"/>
                <w:sz w:val="24"/>
                <w:szCs w:val="24"/>
              </w:rPr>
              <w:t xml:space="preserve">(відповідно до підпункту 2 пункту 2 розділу XV “Прикінцеві та перехідні положення” Закону України “Про вищу освіту”  вища освіта за освітньо-кваліфікаційним рівнем </w:t>
            </w:r>
            <w:r>
              <w:rPr>
                <w:color w:val="000000"/>
                <w:sz w:val="24"/>
                <w:szCs w:val="24"/>
                <w:u w:val="single"/>
              </w:rPr>
              <w:t>спеціаліста</w:t>
            </w:r>
            <w:r>
              <w:rPr>
                <w:color w:val="000000"/>
                <w:sz w:val="24"/>
                <w:szCs w:val="24"/>
              </w:rPr>
              <w:t xml:space="preserve"> (повна вища освіта) прирівнюється до вищої освіти ступеня </w:t>
            </w:r>
            <w:r>
              <w:rPr>
                <w:color w:val="000000"/>
                <w:sz w:val="24"/>
                <w:szCs w:val="24"/>
                <w:u w:val="single"/>
              </w:rPr>
              <w:t>магістра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:rsidR="00EB2F3A" w:rsidRPr="00DA0AC7" w:rsidRDefault="00EB2F3A" w:rsidP="00BE0602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EB2F3A" w:rsidRPr="00ED5991" w:rsidTr="0042117C">
        <w:trPr>
          <w:tblCellSpacing w:w="22" w:type="dxa"/>
        </w:trPr>
        <w:tc>
          <w:tcPr>
            <w:tcW w:w="157" w:type="pct"/>
          </w:tcPr>
          <w:p w:rsidR="00EB2F3A" w:rsidRPr="00ED5991" w:rsidRDefault="00EB2F3A" w:rsidP="009256A7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66" w:type="pct"/>
          </w:tcPr>
          <w:p w:rsidR="00EB2F3A" w:rsidRPr="00ED5991" w:rsidRDefault="00EB2F3A" w:rsidP="009256A7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3091" w:type="pct"/>
          </w:tcPr>
          <w:p w:rsidR="00EB2F3A" w:rsidRDefault="00EB2F3A" w:rsidP="00BE0602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досвід роботи на посадах державної служби категорій “Б” чи “В”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  <w:p w:rsidR="00EB2F3A" w:rsidRPr="00DA0AC7" w:rsidRDefault="00EB2F3A" w:rsidP="00BE0602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EB2F3A" w:rsidRPr="00ED5991" w:rsidTr="0042117C">
        <w:trPr>
          <w:tblCellSpacing w:w="22" w:type="dxa"/>
        </w:trPr>
        <w:tc>
          <w:tcPr>
            <w:tcW w:w="157" w:type="pct"/>
          </w:tcPr>
          <w:p w:rsidR="00EB2F3A" w:rsidRPr="00ED5991" w:rsidRDefault="00EB2F3A" w:rsidP="009256A7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66" w:type="pct"/>
          </w:tcPr>
          <w:p w:rsidR="00EB2F3A" w:rsidRPr="00ED5991" w:rsidRDefault="00EB2F3A" w:rsidP="009256A7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3091" w:type="pct"/>
          </w:tcPr>
          <w:p w:rsidR="00EB2F3A" w:rsidRDefault="00EB2F3A" w:rsidP="009256A7">
            <w:pPr>
              <w:spacing w:line="240" w:lineRule="auto"/>
              <w:rPr>
                <w:rStyle w:val="rvts0"/>
                <w:sz w:val="24"/>
                <w:szCs w:val="24"/>
              </w:rPr>
            </w:pPr>
            <w:r w:rsidRPr="00DA0AC7">
              <w:rPr>
                <w:rStyle w:val="rvts0"/>
                <w:sz w:val="24"/>
                <w:szCs w:val="24"/>
              </w:rPr>
              <w:t>вільне володіння державною мовою</w:t>
            </w:r>
          </w:p>
          <w:p w:rsidR="00EB2F3A" w:rsidRPr="00DA0AC7" w:rsidRDefault="00EB2F3A" w:rsidP="009256A7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EB2F3A" w:rsidRPr="00ED5991" w:rsidTr="0042117C">
        <w:trPr>
          <w:tblCellSpacing w:w="22" w:type="dxa"/>
        </w:trPr>
        <w:tc>
          <w:tcPr>
            <w:tcW w:w="157" w:type="pct"/>
          </w:tcPr>
          <w:p w:rsidR="00EB2F3A" w:rsidRPr="00ED5991" w:rsidRDefault="00EB2F3A" w:rsidP="009256A7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66" w:type="pct"/>
          </w:tcPr>
          <w:p w:rsidR="00EB2F3A" w:rsidRPr="00ED5991" w:rsidRDefault="00EB2F3A" w:rsidP="009256A7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Володіння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іноземною мовою</w:t>
            </w:r>
          </w:p>
        </w:tc>
        <w:tc>
          <w:tcPr>
            <w:tcW w:w="3091" w:type="pct"/>
          </w:tcPr>
          <w:p w:rsidR="00EB2F3A" w:rsidRDefault="00EB2F3A" w:rsidP="009256A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потребує</w:t>
            </w:r>
          </w:p>
          <w:p w:rsidR="00EB2F3A" w:rsidRPr="00DA0AC7" w:rsidRDefault="00EB2F3A" w:rsidP="009256A7">
            <w:pPr>
              <w:spacing w:line="240" w:lineRule="auto"/>
              <w:rPr>
                <w:rStyle w:val="rvts0"/>
                <w:sz w:val="24"/>
                <w:szCs w:val="24"/>
              </w:rPr>
            </w:pPr>
          </w:p>
        </w:tc>
      </w:tr>
      <w:tr w:rsidR="00EB2F3A" w:rsidRPr="00ED5991" w:rsidTr="009256A7">
        <w:trPr>
          <w:tblCellSpacing w:w="22" w:type="dxa"/>
        </w:trPr>
        <w:tc>
          <w:tcPr>
            <w:tcW w:w="4957" w:type="pct"/>
            <w:gridSpan w:val="3"/>
            <w:vAlign w:val="center"/>
          </w:tcPr>
          <w:p w:rsidR="00EB2F3A" w:rsidRPr="00776ABE" w:rsidRDefault="00EB2F3A" w:rsidP="009256A7">
            <w:pPr>
              <w:spacing w:line="240" w:lineRule="auto"/>
              <w:jc w:val="center"/>
              <w:rPr>
                <w:rFonts w:cs="Times New Roman"/>
                <w:b/>
                <w:szCs w:val="28"/>
                <w:lang w:eastAsia="ru-RU"/>
              </w:rPr>
            </w:pPr>
            <w:r w:rsidRPr="00776ABE">
              <w:rPr>
                <w:rFonts w:cs="Times New Roman"/>
                <w:b/>
                <w:szCs w:val="28"/>
                <w:lang w:eastAsia="ru-RU"/>
              </w:rPr>
              <w:t>Вимоги до компетентності</w:t>
            </w:r>
          </w:p>
        </w:tc>
      </w:tr>
      <w:tr w:rsidR="00EB2F3A" w:rsidRPr="00ED5991" w:rsidTr="0042117C">
        <w:trPr>
          <w:tblCellSpacing w:w="22" w:type="dxa"/>
        </w:trPr>
        <w:tc>
          <w:tcPr>
            <w:tcW w:w="1844" w:type="pct"/>
            <w:gridSpan w:val="2"/>
          </w:tcPr>
          <w:p w:rsidR="00EB2F3A" w:rsidRPr="00ED5991" w:rsidRDefault="00EB2F3A" w:rsidP="009256A7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3091" w:type="pct"/>
          </w:tcPr>
          <w:p w:rsidR="00EB2F3A" w:rsidRPr="00776ABE" w:rsidRDefault="00EB2F3A" w:rsidP="009256A7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EB2F3A" w:rsidRPr="00ED5991" w:rsidTr="0042117C">
        <w:trPr>
          <w:tblCellSpacing w:w="22" w:type="dxa"/>
        </w:trPr>
        <w:tc>
          <w:tcPr>
            <w:tcW w:w="157" w:type="pct"/>
          </w:tcPr>
          <w:p w:rsidR="00EB2F3A" w:rsidRPr="00ED5991" w:rsidRDefault="00EB2F3A" w:rsidP="009256A7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3A" w:rsidRPr="00ED5991" w:rsidRDefault="00EB2F3A" w:rsidP="009256A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Лідерство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3A" w:rsidRPr="00776ABE" w:rsidRDefault="00EB2F3A" w:rsidP="009256A7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вміння мотивувати до ефективної професійної діяльності;</w:t>
            </w:r>
          </w:p>
          <w:p w:rsidR="00EB2F3A" w:rsidRPr="00776ABE" w:rsidRDefault="00EB2F3A" w:rsidP="009256A7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 сприяння всебічному розвитку особистості;</w:t>
            </w:r>
          </w:p>
          <w:p w:rsidR="00EB2F3A" w:rsidRPr="00776ABE" w:rsidRDefault="00EB2F3A" w:rsidP="009256A7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 вміння делегувати повноваження та уп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равляти результатами діяльності</w:t>
            </w:r>
          </w:p>
        </w:tc>
      </w:tr>
      <w:tr w:rsidR="00EB2F3A" w:rsidRPr="00ED5991" w:rsidTr="0042117C">
        <w:trPr>
          <w:tblCellSpacing w:w="22" w:type="dxa"/>
        </w:trPr>
        <w:tc>
          <w:tcPr>
            <w:tcW w:w="157" w:type="pct"/>
          </w:tcPr>
          <w:p w:rsidR="00EB2F3A" w:rsidRPr="00ED5991" w:rsidRDefault="00EB2F3A" w:rsidP="009256A7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3A" w:rsidRPr="00ED5991" w:rsidRDefault="00EB2F3A" w:rsidP="009256A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Прийняття ефективних рішень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3A" w:rsidRPr="00776ABE" w:rsidRDefault="00EB2F3A" w:rsidP="009256A7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здатність приймати вчасні та виважені рішення;</w:t>
            </w:r>
          </w:p>
          <w:p w:rsidR="00EB2F3A" w:rsidRPr="00776ABE" w:rsidRDefault="00EB2F3A" w:rsidP="009256A7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аналіз альтернатив;</w:t>
            </w:r>
          </w:p>
          <w:p w:rsidR="00EB2F3A" w:rsidRPr="00776ABE" w:rsidRDefault="00EB2F3A" w:rsidP="009256A7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автономність та ініціативність щодо пропозицій і рішень</w:t>
            </w:r>
          </w:p>
        </w:tc>
      </w:tr>
      <w:tr w:rsidR="00EB2F3A" w:rsidRPr="00ED5991" w:rsidTr="0042117C">
        <w:trPr>
          <w:tblCellSpacing w:w="22" w:type="dxa"/>
        </w:trPr>
        <w:tc>
          <w:tcPr>
            <w:tcW w:w="157" w:type="pct"/>
          </w:tcPr>
          <w:p w:rsidR="00EB2F3A" w:rsidRPr="00ED5991" w:rsidRDefault="00EB2F3A" w:rsidP="009256A7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2F3A" w:rsidRPr="00ED5991" w:rsidRDefault="00EB2F3A" w:rsidP="009256A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Якісне виконання поставлених завдань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3A" w:rsidRPr="00776ABE" w:rsidRDefault="00EB2F3A" w:rsidP="009256A7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 чітке і точне формулювання мети, цілей і завдань службової діяльності;</w:t>
            </w:r>
          </w:p>
          <w:p w:rsidR="00EB2F3A" w:rsidRPr="00776ABE" w:rsidRDefault="00EB2F3A" w:rsidP="009256A7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 комплексний підхід до виконання завдань, виявлення ризиків;</w:t>
            </w:r>
          </w:p>
          <w:p w:rsidR="00EB2F3A" w:rsidRPr="00776ABE" w:rsidRDefault="00EB2F3A" w:rsidP="009256A7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- 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EB2F3A" w:rsidRPr="00ED5991" w:rsidTr="0042117C">
        <w:trPr>
          <w:tblCellSpacing w:w="22" w:type="dxa"/>
        </w:trPr>
        <w:tc>
          <w:tcPr>
            <w:tcW w:w="157" w:type="pct"/>
          </w:tcPr>
          <w:p w:rsidR="00EB2F3A" w:rsidRPr="00ED5991" w:rsidRDefault="00EB2F3A" w:rsidP="009256A7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2F3A" w:rsidRDefault="00EB2F3A" w:rsidP="009256A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Командна робота та взаємодія</w:t>
            </w:r>
          </w:p>
        </w:tc>
        <w:tc>
          <w:tcPr>
            <w:tcW w:w="3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3A" w:rsidRPr="00776ABE" w:rsidRDefault="00EB2F3A" w:rsidP="009256A7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 розуміння ваги свого внеску у загальний результат (структурного підрозділу/державного органу);</w:t>
            </w:r>
          </w:p>
          <w:p w:rsidR="00EB2F3A" w:rsidRPr="00776ABE" w:rsidRDefault="00EB2F3A" w:rsidP="009256A7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орієнтація на командний результат;</w:t>
            </w:r>
          </w:p>
          <w:p w:rsidR="00EB2F3A" w:rsidRPr="00776ABE" w:rsidRDefault="00EB2F3A" w:rsidP="009256A7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 готовність працювати в команді та сприяти колегам у їх професійній діяльності задля досягнення спільних цілей;</w:t>
            </w:r>
          </w:p>
          <w:p w:rsidR="00EB2F3A" w:rsidRPr="00776ABE" w:rsidRDefault="00EB2F3A" w:rsidP="009256A7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776ABE">
              <w:rPr>
                <w:rFonts w:cs="Times New Roman"/>
                <w:color w:val="000000"/>
                <w:sz w:val="24"/>
                <w:szCs w:val="24"/>
                <w:lang w:eastAsia="ru-RU"/>
              </w:rPr>
              <w:t>- відкритість в обміні інформацією</w:t>
            </w:r>
          </w:p>
        </w:tc>
      </w:tr>
      <w:tr w:rsidR="00EB2F3A" w:rsidRPr="00ED5991" w:rsidTr="009256A7">
        <w:trPr>
          <w:tblCellSpacing w:w="22" w:type="dxa"/>
        </w:trPr>
        <w:tc>
          <w:tcPr>
            <w:tcW w:w="4957" w:type="pct"/>
            <w:gridSpan w:val="3"/>
          </w:tcPr>
          <w:p w:rsidR="00EB2F3A" w:rsidRPr="00ED5991" w:rsidRDefault="00EB2F3A" w:rsidP="009256A7">
            <w:pPr>
              <w:jc w:val="center"/>
              <w:rPr>
                <w:rFonts w:cs="Times New Roman"/>
                <w:b/>
                <w:color w:val="000000"/>
                <w:szCs w:val="28"/>
                <w:lang w:eastAsia="ru-RU"/>
              </w:rPr>
            </w:pPr>
            <w:r w:rsidRPr="00ED5991">
              <w:rPr>
                <w:rFonts w:cs="Times New Roman"/>
                <w:b/>
                <w:color w:val="000000"/>
                <w:szCs w:val="28"/>
                <w:lang w:eastAsia="ru-RU"/>
              </w:rPr>
              <w:t>Професійні знання</w:t>
            </w:r>
          </w:p>
        </w:tc>
      </w:tr>
      <w:tr w:rsidR="00EB2F3A" w:rsidRPr="00ED5991" w:rsidTr="0042117C">
        <w:trPr>
          <w:tblCellSpacing w:w="22" w:type="dxa"/>
        </w:trPr>
        <w:tc>
          <w:tcPr>
            <w:tcW w:w="1844" w:type="pct"/>
            <w:gridSpan w:val="2"/>
          </w:tcPr>
          <w:p w:rsidR="00EB2F3A" w:rsidRPr="00ED5991" w:rsidRDefault="00EB2F3A" w:rsidP="009256A7">
            <w:pPr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3091" w:type="pct"/>
          </w:tcPr>
          <w:p w:rsidR="00EB2F3A" w:rsidRPr="00ED5991" w:rsidRDefault="00EB2F3A" w:rsidP="009256A7">
            <w:pPr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EB2F3A" w:rsidRPr="00ED5991" w:rsidTr="0042117C">
        <w:trPr>
          <w:trHeight w:val="1339"/>
          <w:tblCellSpacing w:w="22" w:type="dxa"/>
        </w:trPr>
        <w:tc>
          <w:tcPr>
            <w:tcW w:w="157" w:type="pct"/>
          </w:tcPr>
          <w:p w:rsidR="00EB2F3A" w:rsidRPr="00ED5991" w:rsidRDefault="00EB2F3A" w:rsidP="009256A7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66" w:type="pct"/>
          </w:tcPr>
          <w:p w:rsidR="00EB2F3A" w:rsidRPr="00ED5991" w:rsidRDefault="00EB2F3A" w:rsidP="009256A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3091" w:type="pct"/>
          </w:tcPr>
          <w:p w:rsidR="00EB2F3A" w:rsidRPr="00E42A3F" w:rsidRDefault="00EB2F3A" w:rsidP="009256A7">
            <w:pPr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Знання:</w:t>
            </w:r>
          </w:p>
          <w:p w:rsidR="00EB2F3A" w:rsidRPr="00ED5991" w:rsidRDefault="00EB2F3A" w:rsidP="009256A7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 </w:t>
            </w:r>
            <w:hyperlink r:id="rId6" w:tgtFrame="_top" w:history="1"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Конституці</w:t>
              </w:r>
              <w:r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ї</w:t>
              </w:r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 xml:space="preserve"> України</w:t>
              </w:r>
            </w:hyperlink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B2F3A" w:rsidRPr="00ED5991" w:rsidRDefault="00EB2F3A" w:rsidP="009256A7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 </w:t>
            </w:r>
            <w:hyperlink r:id="rId7" w:tgtFrame="_top" w:history="1"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Закон</w:t>
              </w:r>
              <w:r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у</w:t>
              </w:r>
              <w:r w:rsidRPr="00ED5991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 xml:space="preserve"> України “Про державну службу</w:t>
              </w:r>
            </w:hyperlink>
            <w:r w:rsidRPr="00ED5991">
              <w:rPr>
                <w:rFonts w:cs="Times New Roman"/>
                <w:color w:val="000000"/>
                <w:sz w:val="24"/>
                <w:szCs w:val="24"/>
                <w:lang w:eastAsia="ru-RU"/>
              </w:rPr>
              <w:t>”;</w:t>
            </w:r>
          </w:p>
          <w:p w:rsidR="00EB2F3A" w:rsidRPr="00ED3784" w:rsidRDefault="00EB2F3A" w:rsidP="009256A7">
            <w:pPr>
              <w:spacing w:line="240" w:lineRule="auto"/>
              <w:jc w:val="both"/>
              <w:rPr>
                <w:lang w:val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>
              <w:t> </w:t>
            </w:r>
            <w:hyperlink r:id="rId8" w:tgtFrame="_top" w:history="1">
              <w:r w:rsidRPr="00ED3784">
                <w:rPr>
                  <w:rFonts w:cs="Times New Roman"/>
                  <w:color w:val="000000"/>
                  <w:sz w:val="24"/>
                  <w:szCs w:val="24"/>
                  <w:lang w:eastAsia="ru-RU"/>
                </w:rPr>
                <w:t>Закону України “Про запобігання корупції</w:t>
              </w:r>
            </w:hyperlink>
            <w:r w:rsidRPr="00ED3784">
              <w:rPr>
                <w:rFonts w:cs="Times New Roman"/>
                <w:color w:val="000000"/>
                <w:sz w:val="24"/>
                <w:szCs w:val="24"/>
                <w:lang w:eastAsia="ru-RU"/>
              </w:rPr>
              <w:t>”</w:t>
            </w:r>
            <w:r w:rsidRPr="00ED3784">
              <w:rPr>
                <w:sz w:val="24"/>
                <w:szCs w:val="24"/>
              </w:rPr>
              <w:t xml:space="preserve"> та іншого законодавства</w:t>
            </w:r>
          </w:p>
        </w:tc>
      </w:tr>
      <w:tr w:rsidR="0042117C" w:rsidRPr="00ED5991" w:rsidTr="0042117C">
        <w:trPr>
          <w:tblCellSpacing w:w="22" w:type="dxa"/>
        </w:trPr>
        <w:tc>
          <w:tcPr>
            <w:tcW w:w="157" w:type="pct"/>
          </w:tcPr>
          <w:p w:rsidR="0042117C" w:rsidRPr="00ED5991" w:rsidRDefault="0042117C" w:rsidP="0042117C">
            <w:pPr>
              <w:spacing w:line="240" w:lineRule="auto"/>
              <w:rPr>
                <w:rFonts w:cs="Times New Roman"/>
                <w:sz w:val="24"/>
                <w:szCs w:val="24"/>
                <w:lang w:eastAsia="ru-RU"/>
              </w:rPr>
            </w:pPr>
            <w:r w:rsidRPr="00ED5991">
              <w:rPr>
                <w:rFonts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66" w:type="pct"/>
            <w:shd w:val="clear" w:color="auto" w:fill="auto"/>
          </w:tcPr>
          <w:p w:rsidR="0042117C" w:rsidRPr="00B604C1" w:rsidRDefault="0042117C" w:rsidP="0042117C">
            <w:pPr>
              <w:jc w:val="both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B604C1">
              <w:rPr>
                <w:rFonts w:cs="Times New Roman"/>
                <w:color w:val="000000"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3091" w:type="pct"/>
            <w:shd w:val="clear" w:color="auto" w:fill="auto"/>
          </w:tcPr>
          <w:p w:rsidR="0042117C" w:rsidRPr="00345704" w:rsidRDefault="0042117C" w:rsidP="0042117C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345704">
              <w:rPr>
                <w:sz w:val="24"/>
                <w:szCs w:val="24"/>
                <w:lang w:eastAsia="ru-RU"/>
              </w:rPr>
              <w:t>Знання:</w:t>
            </w:r>
          </w:p>
          <w:p w:rsidR="0042117C" w:rsidRPr="00345704" w:rsidRDefault="0042117C" w:rsidP="0042117C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45704">
              <w:rPr>
                <w:sz w:val="24"/>
                <w:szCs w:val="24"/>
                <w:lang w:eastAsia="ru-RU"/>
              </w:rPr>
              <w:t>-</w:t>
            </w:r>
            <w:r w:rsidRPr="00345704">
              <w:rPr>
                <w:sz w:val="24"/>
                <w:szCs w:val="24"/>
              </w:rPr>
              <w:t> </w:t>
            </w:r>
            <w:r w:rsidRPr="00345704">
              <w:rPr>
                <w:sz w:val="24"/>
                <w:szCs w:val="24"/>
                <w:lang w:eastAsia="ru-RU"/>
              </w:rPr>
              <w:t xml:space="preserve">Закону України </w:t>
            </w:r>
            <w:r w:rsidRPr="00345704">
              <w:rPr>
                <w:sz w:val="24"/>
                <w:szCs w:val="24"/>
                <w:lang w:val="ru-RU" w:eastAsia="ru-RU"/>
              </w:rPr>
              <w:t>“</w:t>
            </w:r>
            <w:r w:rsidRPr="00345704">
              <w:rPr>
                <w:sz w:val="24"/>
                <w:szCs w:val="24"/>
                <w:lang w:eastAsia="ru-RU"/>
              </w:rPr>
              <w:t>Про державні фінансові гарантії медичного обслуговування населення</w:t>
            </w:r>
            <w:r w:rsidRPr="00345704">
              <w:rPr>
                <w:sz w:val="24"/>
                <w:szCs w:val="24"/>
                <w:lang w:val="ru-RU" w:eastAsia="ru-RU"/>
              </w:rPr>
              <w:t>”</w:t>
            </w:r>
            <w:r w:rsidRPr="00345704">
              <w:rPr>
                <w:sz w:val="24"/>
                <w:szCs w:val="24"/>
                <w:lang w:eastAsia="ru-RU"/>
              </w:rPr>
              <w:t>;</w:t>
            </w:r>
          </w:p>
          <w:p w:rsidR="0042117C" w:rsidRPr="00345704" w:rsidRDefault="0042117C" w:rsidP="0042117C">
            <w:pPr>
              <w:spacing w:line="240" w:lineRule="auto"/>
              <w:jc w:val="both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345704">
              <w:rPr>
                <w:sz w:val="24"/>
                <w:szCs w:val="24"/>
                <w:lang w:eastAsia="ru-RU"/>
              </w:rPr>
              <w:t>-</w:t>
            </w:r>
            <w:r w:rsidRPr="00345704">
              <w:rPr>
                <w:sz w:val="24"/>
                <w:szCs w:val="24"/>
              </w:rPr>
              <w:t xml:space="preserve"> Постанови Кабінету Міністрів України від 27.12.2017 </w:t>
            </w:r>
            <w:r w:rsidRPr="00345704">
              <w:rPr>
                <w:sz w:val="24"/>
                <w:szCs w:val="24"/>
              </w:rPr>
              <w:br/>
              <w:t>№ 1101 “Про утворення Національної служби здоров’я України”;</w:t>
            </w:r>
          </w:p>
          <w:p w:rsidR="0042117C" w:rsidRDefault="0042117C" w:rsidP="0042117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45704">
              <w:rPr>
                <w:sz w:val="24"/>
                <w:szCs w:val="24"/>
                <w:lang w:eastAsia="ru-RU"/>
              </w:rPr>
              <w:t>-</w:t>
            </w:r>
            <w:r w:rsidRPr="0034570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Постанови Кабінету Міністрів України від 25.04.2018                № 410 “Про договори про медичне обслуговування населення за програмою медичних гарантій”;</w:t>
            </w:r>
          </w:p>
          <w:p w:rsidR="0042117C" w:rsidRDefault="0042117C" w:rsidP="0042117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45704">
              <w:rPr>
                <w:sz w:val="24"/>
                <w:szCs w:val="24"/>
                <w:lang w:eastAsia="ru-RU"/>
              </w:rPr>
              <w:t>-</w:t>
            </w:r>
            <w:r w:rsidRPr="0034570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Постанови Кабінету Міністрів України від 25.04.2018             № 411 “Деякі питання електронної системи охорони здоров’я”;</w:t>
            </w:r>
          </w:p>
          <w:p w:rsidR="0042117C" w:rsidRDefault="0042117C" w:rsidP="0042117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61D19">
              <w:rPr>
                <w:sz w:val="24"/>
                <w:szCs w:val="24"/>
                <w:lang w:eastAsia="ru-RU"/>
              </w:rPr>
              <w:t>- Постанов</w:t>
            </w:r>
            <w:r>
              <w:rPr>
                <w:sz w:val="24"/>
                <w:szCs w:val="24"/>
                <w:lang w:eastAsia="ru-RU"/>
              </w:rPr>
              <w:t>и</w:t>
            </w:r>
            <w:r w:rsidRPr="00A61D19">
              <w:rPr>
                <w:sz w:val="24"/>
                <w:szCs w:val="24"/>
                <w:lang w:eastAsia="ru-RU"/>
              </w:rPr>
              <w:t xml:space="preserve"> Кабінету Міністрів України від 28.03.2018</w:t>
            </w:r>
            <w:r>
              <w:rPr>
                <w:sz w:val="24"/>
                <w:szCs w:val="24"/>
                <w:lang w:eastAsia="ru-RU"/>
              </w:rPr>
              <w:t xml:space="preserve">                   </w:t>
            </w:r>
            <w:r w:rsidRPr="00A61D19">
              <w:rPr>
                <w:sz w:val="24"/>
                <w:szCs w:val="24"/>
                <w:lang w:eastAsia="ru-RU"/>
              </w:rPr>
              <w:t xml:space="preserve"> № 391 “Про затвердження вимог до надавача послуг з медичного обслуговування населення</w:t>
            </w:r>
            <w:r>
              <w:rPr>
                <w:sz w:val="24"/>
                <w:szCs w:val="24"/>
                <w:lang w:eastAsia="ru-RU"/>
              </w:rPr>
              <w:t>,</w:t>
            </w:r>
            <w:r w:rsidRPr="00A61D19">
              <w:rPr>
                <w:sz w:val="24"/>
                <w:szCs w:val="24"/>
                <w:lang w:eastAsia="ru-RU"/>
              </w:rPr>
              <w:t xml:space="preserve"> з яким головними розпорядниками бюджетних коштів укладаються догов</w:t>
            </w:r>
            <w:r>
              <w:rPr>
                <w:sz w:val="24"/>
                <w:szCs w:val="24"/>
                <w:lang w:eastAsia="ru-RU"/>
              </w:rPr>
              <w:t xml:space="preserve">ори про медичне обслуговування </w:t>
            </w:r>
            <w:r w:rsidRPr="00A61D19">
              <w:rPr>
                <w:sz w:val="24"/>
                <w:szCs w:val="24"/>
                <w:lang w:eastAsia="ru-RU"/>
              </w:rPr>
              <w:t>н</w:t>
            </w:r>
            <w:r>
              <w:rPr>
                <w:sz w:val="24"/>
                <w:szCs w:val="24"/>
                <w:lang w:eastAsia="ru-RU"/>
              </w:rPr>
              <w:t>а</w:t>
            </w:r>
            <w:r w:rsidRPr="00A61D19">
              <w:rPr>
                <w:sz w:val="24"/>
                <w:szCs w:val="24"/>
                <w:lang w:eastAsia="ru-RU"/>
              </w:rPr>
              <w:t>селення”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:rsidR="0042117C" w:rsidRDefault="0042117C" w:rsidP="0042117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45704">
              <w:rPr>
                <w:sz w:val="24"/>
                <w:szCs w:val="24"/>
                <w:lang w:eastAsia="ru-RU"/>
              </w:rPr>
              <w:t>-</w:t>
            </w:r>
            <w:r w:rsidRPr="0034570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Постанови Кабінету Міністрів України від 17.03.2017              № 152 “Про забезпечення доступності лікарських засобів”;</w:t>
            </w:r>
          </w:p>
          <w:p w:rsidR="0042117C" w:rsidRDefault="0042117C" w:rsidP="0042117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45704">
              <w:rPr>
                <w:sz w:val="24"/>
                <w:szCs w:val="24"/>
                <w:lang w:eastAsia="ru-RU"/>
              </w:rPr>
              <w:t>-</w:t>
            </w:r>
            <w:r w:rsidRPr="0034570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Постанови Кабінету Міністрів України від 27.02.2019            № 135 “Деякі питання </w:t>
            </w:r>
            <w:proofErr w:type="spellStart"/>
            <w:r>
              <w:rPr>
                <w:sz w:val="24"/>
                <w:szCs w:val="24"/>
              </w:rPr>
              <w:t>реімбурсації</w:t>
            </w:r>
            <w:proofErr w:type="spellEnd"/>
            <w:r>
              <w:rPr>
                <w:sz w:val="24"/>
                <w:szCs w:val="24"/>
              </w:rPr>
              <w:t xml:space="preserve"> лікарських засобів”;</w:t>
            </w:r>
          </w:p>
          <w:p w:rsidR="0042117C" w:rsidRDefault="0042117C" w:rsidP="0042117C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45704">
              <w:rPr>
                <w:sz w:val="24"/>
                <w:szCs w:val="24"/>
                <w:lang w:eastAsia="ru-RU"/>
              </w:rPr>
              <w:t>-</w:t>
            </w:r>
            <w:r w:rsidRPr="0034570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Постанови Кабінету Міністрів України від 27.02.2019             № 136 “Деякі питання щодо договорів про </w:t>
            </w:r>
            <w:proofErr w:type="spellStart"/>
            <w:r>
              <w:rPr>
                <w:sz w:val="24"/>
                <w:szCs w:val="24"/>
              </w:rPr>
              <w:t>реімбурсацію</w:t>
            </w:r>
            <w:proofErr w:type="spellEnd"/>
            <w:r>
              <w:rPr>
                <w:sz w:val="24"/>
                <w:szCs w:val="24"/>
              </w:rPr>
              <w:t>”;</w:t>
            </w:r>
          </w:p>
          <w:p w:rsidR="0042117C" w:rsidRDefault="0042117C" w:rsidP="0042117C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 Постанови Кабінету Міністрів України від 15.02.2021 </w:t>
            </w:r>
            <w:r>
              <w:rPr>
                <w:sz w:val="24"/>
                <w:szCs w:val="24"/>
                <w:lang w:eastAsia="ru-RU"/>
              </w:rPr>
              <w:br/>
              <w:t xml:space="preserve">№ 133 </w:t>
            </w:r>
            <w:r w:rsidRPr="00A61D19">
              <w:rPr>
                <w:sz w:val="24"/>
                <w:szCs w:val="24"/>
                <w:lang w:eastAsia="ru-RU"/>
              </w:rPr>
              <w:t>“</w:t>
            </w:r>
            <w:r w:rsidRPr="00B5766F">
              <w:rPr>
                <w:sz w:val="24"/>
                <w:szCs w:val="24"/>
                <w:lang w:eastAsia="ru-RU"/>
              </w:rPr>
              <w:t>Деякі питання реалізації програми державних гарантій медичного обслуговування населення у II</w:t>
            </w:r>
            <w:r>
              <w:rPr>
                <w:sz w:val="24"/>
                <w:szCs w:val="24"/>
                <w:lang w:eastAsia="ru-RU"/>
              </w:rPr>
              <w:t>-</w:t>
            </w:r>
            <w:r w:rsidRPr="00B5766F">
              <w:rPr>
                <w:sz w:val="24"/>
                <w:szCs w:val="24"/>
                <w:lang w:eastAsia="ru-RU"/>
              </w:rPr>
              <w:t>IV кварталах 2021 року</w:t>
            </w:r>
            <w:r w:rsidRPr="00A61D19">
              <w:rPr>
                <w:sz w:val="24"/>
                <w:szCs w:val="24"/>
                <w:lang w:eastAsia="ru-RU"/>
              </w:rPr>
              <w:t>”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:rsidR="0042117C" w:rsidRPr="00BC4114" w:rsidRDefault="0042117C" w:rsidP="0042117C">
            <w:pPr>
              <w:pStyle w:val="rvps14"/>
              <w:spacing w:before="0" w:beforeAutospacing="0" w:after="0" w:afterAutospacing="0"/>
              <w:jc w:val="both"/>
              <w:textAlignment w:val="baseline"/>
            </w:pPr>
            <w:r>
              <w:t>- </w:t>
            </w:r>
            <w:r w:rsidRPr="00BC4114">
              <w:t>Наказ</w:t>
            </w:r>
            <w:r>
              <w:t>у</w:t>
            </w:r>
            <w:r w:rsidRPr="00BC4114">
              <w:t xml:space="preserve"> МОЗ від 19.03.2018</w:t>
            </w:r>
            <w:r>
              <w:t> </w:t>
            </w:r>
            <w:r w:rsidRPr="00BC4114">
              <w:t xml:space="preserve"> № 503 “Про затвердження Порядку вибору лікаря, який надає первинну медичну допомогу, та форми декларації про вибір лікаря, який надає первинну медичну допомогу”</w:t>
            </w:r>
            <w:r>
              <w:t>, зареєстровано</w:t>
            </w:r>
            <w:r w:rsidR="004D32F5">
              <w:t>го</w:t>
            </w:r>
            <w:r>
              <w:t xml:space="preserve"> в Міністерстві юстиції України 21 березня 2018 р. за №</w:t>
            </w:r>
            <w:r w:rsidR="004D32F5">
              <w:t> </w:t>
            </w:r>
            <w:r>
              <w:t>347/31799</w:t>
            </w:r>
            <w:r w:rsidRPr="00BC4114">
              <w:t>;</w:t>
            </w:r>
          </w:p>
          <w:p w:rsidR="0042117C" w:rsidRPr="00345704" w:rsidRDefault="0042117C" w:rsidP="0042117C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- </w:t>
            </w:r>
            <w:r w:rsidRPr="0070583A">
              <w:rPr>
                <w:sz w:val="24"/>
                <w:szCs w:val="24"/>
              </w:rPr>
              <w:t xml:space="preserve">Наказу МОЗ від 19.03.2018 № 504 “Про затвердження </w:t>
            </w:r>
            <w:r w:rsidRPr="0070583A">
              <w:rPr>
                <w:color w:val="000000"/>
                <w:sz w:val="24"/>
                <w:szCs w:val="24"/>
              </w:rPr>
              <w:t>Порядку надання первинної медичної допомоги</w:t>
            </w:r>
            <w:r w:rsidRPr="0070583A">
              <w:rPr>
                <w:sz w:val="24"/>
                <w:szCs w:val="24"/>
              </w:rPr>
              <w:t xml:space="preserve">”, </w:t>
            </w:r>
            <w:r w:rsidRPr="0070583A">
              <w:rPr>
                <w:sz w:val="24"/>
                <w:szCs w:val="24"/>
              </w:rPr>
              <w:lastRenderedPageBreak/>
              <w:t>зареєстровано</w:t>
            </w:r>
            <w:r w:rsidR="004D32F5">
              <w:rPr>
                <w:sz w:val="24"/>
                <w:szCs w:val="24"/>
              </w:rPr>
              <w:t>го</w:t>
            </w:r>
            <w:r w:rsidRPr="0070583A">
              <w:rPr>
                <w:sz w:val="24"/>
                <w:szCs w:val="24"/>
              </w:rPr>
              <w:t xml:space="preserve"> в Міністерстві юстиції України 21 березня</w:t>
            </w:r>
            <w:r>
              <w:rPr>
                <w:sz w:val="24"/>
                <w:szCs w:val="24"/>
              </w:rPr>
              <w:t xml:space="preserve"> </w:t>
            </w:r>
            <w:r w:rsidRPr="0070583A">
              <w:rPr>
                <w:sz w:val="24"/>
                <w:szCs w:val="24"/>
              </w:rPr>
              <w:t xml:space="preserve"> 2018 р. за № 348/31800</w:t>
            </w:r>
          </w:p>
        </w:tc>
      </w:tr>
      <w:tr w:rsidR="0042117C" w:rsidRPr="00ED5991" w:rsidTr="0042117C">
        <w:trPr>
          <w:tblCellSpacing w:w="22" w:type="dxa"/>
        </w:trPr>
        <w:tc>
          <w:tcPr>
            <w:tcW w:w="157" w:type="pct"/>
          </w:tcPr>
          <w:p w:rsidR="0042117C" w:rsidRPr="00ED5991" w:rsidRDefault="0042117C" w:rsidP="0042117C">
            <w:pPr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666" w:type="pct"/>
            <w:shd w:val="clear" w:color="auto" w:fill="auto"/>
          </w:tcPr>
          <w:p w:rsidR="0042117C" w:rsidRPr="0063637E" w:rsidRDefault="0042117C" w:rsidP="0042117C">
            <w:pPr>
              <w:tabs>
                <w:tab w:val="left" w:pos="1418"/>
              </w:tabs>
              <w:spacing w:line="240" w:lineRule="auto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63637E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Знання системи </w:t>
            </w:r>
            <w:r w:rsidRPr="0063637E">
              <w:rPr>
                <w:rFonts w:cs="Times New Roman"/>
                <w:color w:val="000000"/>
                <w:sz w:val="24"/>
                <w:szCs w:val="24"/>
              </w:rPr>
              <w:t xml:space="preserve">реалізації державної політики у сфері державних фінансових гарантій медичного обслуговування населення за програмою державних гарантій медичного обслуговування населення </w:t>
            </w:r>
          </w:p>
        </w:tc>
        <w:tc>
          <w:tcPr>
            <w:tcW w:w="3091" w:type="pct"/>
            <w:shd w:val="clear" w:color="auto" w:fill="auto"/>
          </w:tcPr>
          <w:p w:rsidR="0042117C" w:rsidRPr="0063637E" w:rsidRDefault="0042117C" w:rsidP="004211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3637E">
              <w:rPr>
                <w:sz w:val="24"/>
                <w:szCs w:val="24"/>
              </w:rPr>
              <w:t>Забезпечення р</w:t>
            </w:r>
            <w:r w:rsidRPr="0063637E">
              <w:rPr>
                <w:rFonts w:cs="Times New Roman"/>
                <w:color w:val="000000"/>
                <w:sz w:val="24"/>
                <w:szCs w:val="24"/>
              </w:rPr>
              <w:t>еалізації повноважень НСЗУ на території міста Києва в частині:</w:t>
            </w:r>
          </w:p>
          <w:p w:rsidR="0042117C" w:rsidRPr="0063637E" w:rsidRDefault="0042117C" w:rsidP="0042117C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3637E">
              <w:rPr>
                <w:rFonts w:cs="Times New Roman"/>
                <w:color w:val="000000"/>
                <w:sz w:val="24"/>
                <w:szCs w:val="24"/>
              </w:rPr>
              <w:t>- реалізації державної політики у сфері державних фінансових гарантій медичного обслуговування населення за програмою державних гарантій медичного обслуговування населення (програма медичних гарантій);</w:t>
            </w:r>
          </w:p>
          <w:p w:rsidR="0042117C" w:rsidRPr="0063637E" w:rsidRDefault="0042117C" w:rsidP="0042117C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3637E">
              <w:rPr>
                <w:rFonts w:cs="Times New Roman"/>
                <w:color w:val="000000"/>
                <w:sz w:val="24"/>
                <w:szCs w:val="24"/>
              </w:rPr>
              <w:t xml:space="preserve">- </w:t>
            </w:r>
            <w:r w:rsidR="004D32F5">
              <w:rPr>
                <w:rFonts w:cs="Times New Roman"/>
                <w:color w:val="000000"/>
                <w:sz w:val="24"/>
                <w:szCs w:val="24"/>
              </w:rPr>
              <w:t>організації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підготовчої роботи для укладання, зміни та припинення договорів про </w:t>
            </w:r>
            <w:r w:rsidRPr="0063637E">
              <w:rPr>
                <w:rFonts w:cs="Times New Roman"/>
                <w:color w:val="000000"/>
                <w:sz w:val="24"/>
                <w:szCs w:val="24"/>
              </w:rPr>
              <w:t>медичн</w:t>
            </w:r>
            <w:r>
              <w:rPr>
                <w:rFonts w:cs="Times New Roman"/>
                <w:color w:val="000000"/>
                <w:sz w:val="24"/>
                <w:szCs w:val="24"/>
              </w:rPr>
              <w:t>е</w:t>
            </w:r>
            <w:r w:rsidRPr="0063637E">
              <w:rPr>
                <w:rFonts w:cs="Times New Roman"/>
                <w:color w:val="000000"/>
                <w:sz w:val="24"/>
                <w:szCs w:val="24"/>
              </w:rPr>
              <w:t xml:space="preserve"> обслуговування населення в установленому порядку;</w:t>
            </w:r>
          </w:p>
          <w:p w:rsidR="0042117C" w:rsidRPr="0063637E" w:rsidRDefault="0042117C" w:rsidP="0042117C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63637E">
              <w:rPr>
                <w:rFonts w:cs="Times New Roman"/>
                <w:color w:val="000000"/>
                <w:sz w:val="24"/>
                <w:szCs w:val="24"/>
              </w:rPr>
              <w:t xml:space="preserve">- </w:t>
            </w:r>
            <w:r w:rsidR="004D32F5">
              <w:rPr>
                <w:rFonts w:cs="Times New Roman"/>
                <w:color w:val="000000"/>
                <w:sz w:val="24"/>
                <w:szCs w:val="24"/>
              </w:rPr>
              <w:t>супроводу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та підтримк</w:t>
            </w:r>
            <w:r w:rsidR="004D32F5">
              <w:rPr>
                <w:rFonts w:cs="Times New Roman"/>
                <w:color w:val="000000"/>
                <w:sz w:val="24"/>
                <w:szCs w:val="24"/>
              </w:rPr>
              <w:t>и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контрагентів НСЗУ у регіоні щодо укладання, зміни та припинення договорів про </w:t>
            </w:r>
            <w:r w:rsidRPr="0063637E">
              <w:rPr>
                <w:rFonts w:cs="Times New Roman"/>
                <w:color w:val="000000"/>
                <w:sz w:val="24"/>
                <w:szCs w:val="24"/>
              </w:rPr>
              <w:t>медичн</w:t>
            </w:r>
            <w:r>
              <w:rPr>
                <w:rFonts w:cs="Times New Roman"/>
                <w:color w:val="000000"/>
                <w:sz w:val="24"/>
                <w:szCs w:val="24"/>
              </w:rPr>
              <w:t>е</w:t>
            </w:r>
            <w:r w:rsidRPr="0063637E">
              <w:rPr>
                <w:rFonts w:cs="Times New Roman"/>
                <w:color w:val="000000"/>
                <w:sz w:val="24"/>
                <w:szCs w:val="24"/>
              </w:rPr>
              <w:t xml:space="preserve"> обслуговування населення в установленому порядку;</w:t>
            </w:r>
          </w:p>
          <w:p w:rsidR="0042117C" w:rsidRPr="0063637E" w:rsidRDefault="0042117C" w:rsidP="004D32F5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надання статистичних даних керівництву </w:t>
            </w:r>
            <w:r w:rsidR="004D32F5" w:rsidRPr="003721DF">
              <w:rPr>
                <w:sz w:val="24"/>
                <w:szCs w:val="24"/>
              </w:rPr>
              <w:t xml:space="preserve">управління, Департаменту </w:t>
            </w:r>
            <w:r>
              <w:rPr>
                <w:sz w:val="24"/>
                <w:szCs w:val="24"/>
              </w:rPr>
              <w:t xml:space="preserve">щодо договірної роботи в регіоні та з питань, які виникають в процесі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укладання, зміни та припинення договорів про </w:t>
            </w:r>
            <w:r w:rsidRPr="0063637E">
              <w:rPr>
                <w:rFonts w:cs="Times New Roman"/>
                <w:color w:val="000000"/>
                <w:sz w:val="24"/>
                <w:szCs w:val="24"/>
              </w:rPr>
              <w:t>медичн</w:t>
            </w:r>
            <w:r>
              <w:rPr>
                <w:rFonts w:cs="Times New Roman"/>
                <w:color w:val="000000"/>
                <w:sz w:val="24"/>
                <w:szCs w:val="24"/>
              </w:rPr>
              <w:t>е</w:t>
            </w:r>
            <w:r w:rsidRPr="0063637E">
              <w:rPr>
                <w:rFonts w:cs="Times New Roman"/>
                <w:color w:val="000000"/>
                <w:sz w:val="24"/>
                <w:szCs w:val="24"/>
              </w:rPr>
              <w:t xml:space="preserve"> обслуговування населення в установленому порядку</w:t>
            </w:r>
            <w:r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EB2F3A" w:rsidRDefault="00EB2F3A" w:rsidP="00EB2F3A"/>
    <w:p w:rsidR="00EB2F3A" w:rsidRDefault="00EB2F3A" w:rsidP="00EB2F3A"/>
    <w:p w:rsidR="00EB2F3A" w:rsidRDefault="00EB2F3A" w:rsidP="00EB2F3A"/>
    <w:sectPr w:rsidR="00EB2F3A" w:rsidSect="00BE0602">
      <w:pgSz w:w="11906" w:h="16838"/>
      <w:pgMar w:top="709" w:right="426" w:bottom="709" w:left="56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331AD"/>
    <w:multiLevelType w:val="hybridMultilevel"/>
    <w:tmpl w:val="84646266"/>
    <w:lvl w:ilvl="0" w:tplc="A6AA3844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AA67EAA"/>
    <w:multiLevelType w:val="multilevel"/>
    <w:tmpl w:val="43B015D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-"/>
      <w:lvlJc w:val="left"/>
      <w:pPr>
        <w:ind w:left="1080" w:hanging="720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"/>
      <w:lvlJc w:val="left"/>
      <w:pPr>
        <w:ind w:left="2160" w:hanging="1080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1B5842BE"/>
    <w:multiLevelType w:val="multilevel"/>
    <w:tmpl w:val="47AABE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-"/>
      <w:lvlJc w:val="left"/>
      <w:pPr>
        <w:ind w:left="1080" w:hanging="720"/>
      </w:pPr>
      <w:rPr>
        <w:rFonts w:ascii="Times New Roman" w:hAnsi="Times New Roman" w:hint="default"/>
      </w:rPr>
    </w:lvl>
    <w:lvl w:ilvl="2">
      <w:start w:val="1"/>
      <w:numFmt w:val="bullet"/>
      <w:lvlText w:val=""/>
      <w:lvlJc w:val="left"/>
      <w:pPr>
        <w:ind w:left="1440" w:hanging="72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CBA51BB"/>
    <w:multiLevelType w:val="hybridMultilevel"/>
    <w:tmpl w:val="548E332A"/>
    <w:lvl w:ilvl="0" w:tplc="0422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3151DCB"/>
    <w:multiLevelType w:val="hybridMultilevel"/>
    <w:tmpl w:val="5E007C86"/>
    <w:lvl w:ilvl="0" w:tplc="0422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4C3B3EAE"/>
    <w:multiLevelType w:val="multilevel"/>
    <w:tmpl w:val="45A2DE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-"/>
      <w:lvlJc w:val="left"/>
      <w:pPr>
        <w:ind w:left="1080" w:hanging="720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52362862"/>
    <w:multiLevelType w:val="hybridMultilevel"/>
    <w:tmpl w:val="1ADCE7C2"/>
    <w:lvl w:ilvl="0" w:tplc="CF36F9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673B3"/>
    <w:multiLevelType w:val="hybridMultilevel"/>
    <w:tmpl w:val="F6A25E7E"/>
    <w:lvl w:ilvl="0" w:tplc="0422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57843676"/>
    <w:multiLevelType w:val="hybridMultilevel"/>
    <w:tmpl w:val="06BCC586"/>
    <w:lvl w:ilvl="0" w:tplc="A6AA384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A55303"/>
    <w:multiLevelType w:val="hybridMultilevel"/>
    <w:tmpl w:val="1870F914"/>
    <w:lvl w:ilvl="0" w:tplc="1FBCF860">
      <w:numFmt w:val="bullet"/>
      <w:lvlText w:val="-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64EC0214"/>
    <w:multiLevelType w:val="hybridMultilevel"/>
    <w:tmpl w:val="0548DCFE"/>
    <w:lvl w:ilvl="0" w:tplc="A6AA3844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7A432132"/>
    <w:multiLevelType w:val="hybridMultilevel"/>
    <w:tmpl w:val="5CA22672"/>
    <w:lvl w:ilvl="0" w:tplc="BD00445C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4"/>
  </w:num>
  <w:num w:numId="5">
    <w:abstractNumId w:val="10"/>
  </w:num>
  <w:num w:numId="6">
    <w:abstractNumId w:val="9"/>
  </w:num>
  <w:num w:numId="7">
    <w:abstractNumId w:val="11"/>
  </w:num>
  <w:num w:numId="8">
    <w:abstractNumId w:val="0"/>
  </w:num>
  <w:num w:numId="9">
    <w:abstractNumId w:val="5"/>
  </w:num>
  <w:num w:numId="10">
    <w:abstractNumId w:val="1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F3A"/>
    <w:rsid w:val="00033469"/>
    <w:rsid w:val="000C50CB"/>
    <w:rsid w:val="000D1520"/>
    <w:rsid w:val="00321B81"/>
    <w:rsid w:val="00351D16"/>
    <w:rsid w:val="0042117C"/>
    <w:rsid w:val="004D32F5"/>
    <w:rsid w:val="0068078F"/>
    <w:rsid w:val="00685A94"/>
    <w:rsid w:val="006C709F"/>
    <w:rsid w:val="006D64C3"/>
    <w:rsid w:val="007C00CC"/>
    <w:rsid w:val="009011DA"/>
    <w:rsid w:val="00907B44"/>
    <w:rsid w:val="009E6CAF"/>
    <w:rsid w:val="00A37581"/>
    <w:rsid w:val="00B35831"/>
    <w:rsid w:val="00B94827"/>
    <w:rsid w:val="00BE0602"/>
    <w:rsid w:val="00D12832"/>
    <w:rsid w:val="00D41C02"/>
    <w:rsid w:val="00E431B6"/>
    <w:rsid w:val="00EB2F3A"/>
    <w:rsid w:val="00EF7491"/>
    <w:rsid w:val="00F5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87C1F"/>
  <w15:chartTrackingRefBased/>
  <w15:docId w15:val="{DAF46F7A-235E-45CE-8607-05C45F375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F3A"/>
    <w:pPr>
      <w:spacing w:after="0" w:line="276" w:lineRule="auto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next w:val="a"/>
    <w:link w:val="10"/>
    <w:uiPriority w:val="9"/>
    <w:qFormat/>
    <w:rsid w:val="00EB2F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2F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uiPriority w:val="99"/>
    <w:semiHidden/>
    <w:rsid w:val="00EB2F3A"/>
    <w:rPr>
      <w:rFonts w:cs="Times New Roman"/>
      <w:color w:val="0000FF"/>
      <w:u w:val="single"/>
    </w:rPr>
  </w:style>
  <w:style w:type="character" w:customStyle="1" w:styleId="rvts0">
    <w:name w:val="rvts0"/>
    <w:uiPriority w:val="99"/>
    <w:rsid w:val="00EB2F3A"/>
  </w:style>
  <w:style w:type="paragraph" w:customStyle="1" w:styleId="rvps14">
    <w:name w:val="rvps14"/>
    <w:basedOn w:val="a"/>
    <w:uiPriority w:val="99"/>
    <w:rsid w:val="00EB2F3A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uk-UA"/>
    </w:rPr>
  </w:style>
  <w:style w:type="paragraph" w:styleId="a4">
    <w:name w:val="List Paragraph"/>
    <w:basedOn w:val="a"/>
    <w:uiPriority w:val="99"/>
    <w:qFormat/>
    <w:rsid w:val="00EB2F3A"/>
    <w:pPr>
      <w:spacing w:after="80" w:line="240" w:lineRule="auto"/>
      <w:ind w:left="720"/>
      <w:contextualSpacing/>
    </w:pPr>
    <w:rPr>
      <w:rFonts w:ascii="Calibri" w:hAnsi="Calibri" w:cs="Times New Roman"/>
      <w:sz w:val="22"/>
    </w:rPr>
  </w:style>
  <w:style w:type="paragraph" w:customStyle="1" w:styleId="a5">
    <w:name w:val="Нормальний текст"/>
    <w:basedOn w:val="a"/>
    <w:rsid w:val="00EB2F3A"/>
    <w:pPr>
      <w:spacing w:before="120" w:line="240" w:lineRule="auto"/>
      <w:ind w:firstLine="567"/>
    </w:pPr>
    <w:rPr>
      <w:rFonts w:ascii="Antiqua" w:hAnsi="Antiqua" w:cs="Times New Roman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31B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431B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5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T14_170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T15088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Z960254K.html" TargetMode="External"/><Relationship Id="rId5" Type="http://schemas.openxmlformats.org/officeDocument/2006/relationships/hyperlink" Target="https://career.gov.u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8100</Words>
  <Characters>4618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Федько Наталія Миколаївна</dc:creator>
  <cp:keywords/>
  <dc:description/>
  <cp:lastModifiedBy>Марущак Наталія Михайлівна</cp:lastModifiedBy>
  <cp:revision>19</cp:revision>
  <cp:lastPrinted>2021-06-08T07:05:00Z</cp:lastPrinted>
  <dcterms:created xsi:type="dcterms:W3CDTF">2021-06-04T11:18:00Z</dcterms:created>
  <dcterms:modified xsi:type="dcterms:W3CDTF">2021-07-15T12:44:00Z</dcterms:modified>
</cp:coreProperties>
</file>