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061DBA" w:rsidRPr="00ED5991" w:rsidTr="00DC30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1DBA" w:rsidRPr="00B91378" w:rsidRDefault="00DA18CE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A9647F">
              <w:rPr>
                <w:color w:val="000000"/>
                <w:sz w:val="24"/>
                <w:szCs w:val="24"/>
              </w:rPr>
              <w:t xml:space="preserve"> 5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061DBA" w:rsidRPr="00ED5991" w:rsidRDefault="00061DBA" w:rsidP="0066070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660706">
              <w:rPr>
                <w:color w:val="000000"/>
                <w:sz w:val="24"/>
                <w:szCs w:val="24"/>
              </w:rPr>
              <w:t>15.07.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660706">
              <w:rPr>
                <w:sz w:val="24"/>
                <w:szCs w:val="24"/>
              </w:rPr>
              <w:t xml:space="preserve">448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061DBA" w:rsidRPr="00ED599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061DBA" w:rsidRPr="00EC6E74" w:rsidRDefault="00061DBA" w:rsidP="00061DBA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061DBA" w:rsidRPr="00EC6E74" w:rsidRDefault="00061DBA" w:rsidP="00061DB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DA18CE" w:rsidRDefault="00B6317A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головного спеціаліста відділу організаційного розвитку управління кадрового адміністрування та                           організаційного розвитку Департаменту управління персоналом</w:t>
      </w:r>
      <w:r w:rsidRPr="00555670">
        <w:rPr>
          <w:rFonts w:ascii="Times New Roman" w:hAnsi="Times New Roman"/>
          <w:sz w:val="24"/>
          <w:szCs w:val="24"/>
        </w:rPr>
        <w:t xml:space="preserve"> </w:t>
      </w:r>
    </w:p>
    <w:p w:rsidR="00AA42DE" w:rsidRDefault="00AA42DE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9647F">
        <w:rPr>
          <w:rFonts w:ascii="Times New Roman" w:hAnsi="Times New Roman"/>
          <w:sz w:val="24"/>
          <w:szCs w:val="24"/>
        </w:rPr>
        <w:t>друга</w:t>
      </w:r>
      <w:r>
        <w:rPr>
          <w:rFonts w:ascii="Times New Roman" w:hAnsi="Times New Roman"/>
          <w:sz w:val="24"/>
          <w:szCs w:val="24"/>
        </w:rPr>
        <w:t xml:space="preserve"> вакантна посада)</w:t>
      </w:r>
    </w:p>
    <w:p w:rsidR="00061DBA" w:rsidRPr="00616A8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24"/>
        <w:gridCol w:w="6296"/>
      </w:tblGrid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B6317A" w:rsidRPr="00ED5991" w:rsidTr="00B6317A">
        <w:trPr>
          <w:tblCellSpacing w:w="22" w:type="dxa"/>
        </w:trPr>
        <w:tc>
          <w:tcPr>
            <w:tcW w:w="1878" w:type="pct"/>
            <w:gridSpan w:val="2"/>
          </w:tcPr>
          <w:p w:rsidR="00B6317A" w:rsidRPr="00ED5991" w:rsidRDefault="00B6317A" w:rsidP="00B6317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57" w:type="pct"/>
            <w:shd w:val="clear" w:color="auto" w:fill="auto"/>
          </w:tcPr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з</w:t>
            </w:r>
            <w:r w:rsidRPr="00F05CC6">
              <w:rPr>
                <w:sz w:val="24"/>
                <w:szCs w:val="24"/>
                <w:lang w:eastAsia="ru-RU"/>
              </w:rPr>
              <w:t>дійснює аналіз завдань та функцій, покладених на структурні підрозділи апарату НСЗУ, та готує пропозиції щодо вдосконалення чинних функціональних повн</w:t>
            </w:r>
            <w:r>
              <w:rPr>
                <w:sz w:val="24"/>
                <w:szCs w:val="24"/>
                <w:lang w:eastAsia="ru-RU"/>
              </w:rPr>
              <w:t>оважень структурних підрозділів;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</w:t>
            </w:r>
            <w:r w:rsidRPr="00F05CC6">
              <w:rPr>
                <w:sz w:val="24"/>
                <w:szCs w:val="24"/>
                <w:lang w:eastAsia="ru-RU"/>
              </w:rPr>
              <w:t>працьовує пропозиції структурних підрозділів апарату НСЗУ щодо внесення змін до організаційної структури НСЗУ, закріплених функцій і процедур, та готує відповідні матері</w:t>
            </w:r>
            <w:r>
              <w:rPr>
                <w:sz w:val="24"/>
                <w:szCs w:val="24"/>
                <w:lang w:eastAsia="ru-RU"/>
              </w:rPr>
              <w:t>али на розгляд керівництву НСЗУ;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з</w:t>
            </w:r>
            <w:r w:rsidRPr="00F05CC6">
              <w:rPr>
                <w:sz w:val="24"/>
                <w:szCs w:val="24"/>
                <w:lang w:eastAsia="ru-RU"/>
              </w:rPr>
              <w:t>дійснює функціональне обстеження НСЗУ, аналіз його результатів, підготовку пропозицій щодо оптимізації функціональності структурних підрозділів апарату НСЗУ, внесення змін до орган</w:t>
            </w:r>
            <w:r>
              <w:rPr>
                <w:sz w:val="24"/>
                <w:szCs w:val="24"/>
                <w:lang w:eastAsia="ru-RU"/>
              </w:rPr>
              <w:t>ізаційно-розпорядчих документів;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</w:t>
            </w:r>
            <w:r w:rsidRPr="00F05CC6">
              <w:rPr>
                <w:sz w:val="24"/>
                <w:szCs w:val="24"/>
                <w:lang w:eastAsia="ru-RU"/>
              </w:rPr>
              <w:t>ивчає стан організації роботи структурних підрозділів апарату НСЗУ, їх функціональної спроможності та готує пропозиції щодо пі</w:t>
            </w:r>
            <w:r>
              <w:rPr>
                <w:sz w:val="24"/>
                <w:szCs w:val="24"/>
                <w:lang w:eastAsia="ru-RU"/>
              </w:rPr>
              <w:t>двищення ефективності їх роботи;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</w:t>
            </w:r>
            <w:r w:rsidRPr="00F05CC6">
              <w:rPr>
                <w:sz w:val="24"/>
                <w:szCs w:val="24"/>
                <w:lang w:eastAsia="ru-RU"/>
              </w:rPr>
              <w:t>озробляє структуру НСЗУ для затвердження Головою НСЗУ за погодженн</w:t>
            </w:r>
            <w:r>
              <w:rPr>
                <w:sz w:val="24"/>
                <w:szCs w:val="24"/>
                <w:lang w:eastAsia="ru-RU"/>
              </w:rPr>
              <w:t>ям з Міністром охорони здоров’я;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</w:t>
            </w:r>
            <w:r w:rsidRPr="00F05CC6">
              <w:rPr>
                <w:sz w:val="24"/>
                <w:szCs w:val="24"/>
                <w:lang w:eastAsia="ru-RU"/>
              </w:rPr>
              <w:t>азом із бухгалтерською службою</w:t>
            </w:r>
            <w:r>
              <w:rPr>
                <w:sz w:val="24"/>
                <w:szCs w:val="24"/>
                <w:lang w:eastAsia="ru-RU"/>
              </w:rPr>
              <w:t xml:space="preserve"> НСЗУ опрацьовує штатний розпис;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F05CC6">
              <w:rPr>
                <w:sz w:val="24"/>
                <w:szCs w:val="24"/>
                <w:lang w:eastAsia="ru-RU"/>
              </w:rPr>
              <w:t>абезпечує підтримку в актуальному стані положень про структурні підрозділи апарату НСЗУ та посадових інструкцій державних службо</w:t>
            </w:r>
            <w:r>
              <w:rPr>
                <w:sz w:val="24"/>
                <w:szCs w:val="24"/>
                <w:lang w:eastAsia="ru-RU"/>
              </w:rPr>
              <w:t>вців і працівників апарату НСЗУ;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F05CC6">
              <w:rPr>
                <w:sz w:val="24"/>
                <w:szCs w:val="24"/>
                <w:lang w:eastAsia="ru-RU"/>
              </w:rPr>
              <w:t>дійснює ознайомлення з положеннями про структурні підрозділи новоприйнятих державних службовців н</w:t>
            </w:r>
            <w:r>
              <w:rPr>
                <w:sz w:val="24"/>
                <w:szCs w:val="24"/>
                <w:lang w:eastAsia="ru-RU"/>
              </w:rPr>
              <w:t xml:space="preserve">а керівні посади в </w:t>
            </w:r>
            <w:proofErr w:type="spellStart"/>
            <w:r>
              <w:rPr>
                <w:sz w:val="24"/>
                <w:szCs w:val="24"/>
                <w:lang w:eastAsia="ru-RU"/>
              </w:rPr>
              <w:t>апараті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НСЗУ;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</w:t>
            </w:r>
            <w:r w:rsidRPr="00F05CC6">
              <w:rPr>
                <w:sz w:val="24"/>
                <w:szCs w:val="24"/>
                <w:lang w:eastAsia="ru-RU"/>
              </w:rPr>
              <w:t xml:space="preserve">знайомлює державних службовців та працівників апарату </w:t>
            </w:r>
            <w:r>
              <w:rPr>
                <w:sz w:val="24"/>
                <w:szCs w:val="24"/>
                <w:lang w:eastAsia="ru-RU"/>
              </w:rPr>
              <w:t>НСЗУ із посадовими інструкціями;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F05CC6">
              <w:rPr>
                <w:sz w:val="24"/>
                <w:szCs w:val="24"/>
                <w:lang w:eastAsia="ru-RU"/>
              </w:rPr>
              <w:t>дійснює контроль розміщення актуальних організаційної структури і положень про структурні підрозділи апарату НС</w:t>
            </w:r>
            <w:r>
              <w:rPr>
                <w:sz w:val="24"/>
                <w:szCs w:val="24"/>
                <w:lang w:eastAsia="ru-RU"/>
              </w:rPr>
              <w:t>ЗУ на офіційному веб-сайті НСЗУ;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F05CC6">
              <w:rPr>
                <w:sz w:val="24"/>
                <w:szCs w:val="24"/>
                <w:lang w:eastAsia="ru-RU"/>
              </w:rPr>
              <w:t>дійснює підготовку проектів організаційно-розпорядчих документів НСЗУ з питань координації та організації</w:t>
            </w:r>
            <w:r>
              <w:rPr>
                <w:sz w:val="24"/>
                <w:szCs w:val="24"/>
                <w:lang w:eastAsia="ru-RU"/>
              </w:rPr>
              <w:t xml:space="preserve"> роботи структурних підрозділів;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F05CC6">
              <w:rPr>
                <w:sz w:val="24"/>
                <w:szCs w:val="24"/>
                <w:lang w:eastAsia="ru-RU"/>
              </w:rPr>
              <w:t>абезпечує захист персональних даних працівників апарату НСЗУ, інформація стосо</w:t>
            </w:r>
            <w:r>
              <w:rPr>
                <w:sz w:val="24"/>
                <w:szCs w:val="24"/>
                <w:lang w:eastAsia="ru-RU"/>
              </w:rPr>
              <w:t>вно яких обробляється у відділі;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г</w:t>
            </w:r>
            <w:r w:rsidRPr="00F05CC6">
              <w:rPr>
                <w:sz w:val="24"/>
                <w:szCs w:val="24"/>
                <w:lang w:eastAsia="ru-RU"/>
              </w:rPr>
              <w:t>отує у межах компетенції інформацію для розміщення на внутрішньому сай</w:t>
            </w:r>
            <w:r>
              <w:rPr>
                <w:sz w:val="24"/>
                <w:szCs w:val="24"/>
                <w:lang w:eastAsia="ru-RU"/>
              </w:rPr>
              <w:t>ті та офіційному веб-сайті НСЗУ;</w:t>
            </w:r>
          </w:p>
          <w:p w:rsidR="00B6317A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з</w:t>
            </w:r>
            <w:r w:rsidRPr="00F05CC6">
              <w:rPr>
                <w:sz w:val="24"/>
                <w:szCs w:val="24"/>
                <w:lang w:eastAsia="ru-RU"/>
              </w:rPr>
              <w:t>дійснює підготовку та бере участь у виконанні заходів щодо організації та координації роботи структурних підрозділів апарату НСЗ</w:t>
            </w:r>
            <w:r>
              <w:rPr>
                <w:sz w:val="24"/>
                <w:szCs w:val="24"/>
                <w:lang w:eastAsia="ru-RU"/>
              </w:rPr>
              <w:t>У з питань компетенції відділу;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г</w:t>
            </w:r>
            <w:r w:rsidRPr="00F05CC6">
              <w:rPr>
                <w:sz w:val="24"/>
                <w:szCs w:val="24"/>
                <w:lang w:eastAsia="ru-RU"/>
              </w:rPr>
              <w:t>отує пропозиції керівництву НСЗУ щодо розвитку та вдосконалення органі</w:t>
            </w:r>
            <w:r>
              <w:rPr>
                <w:sz w:val="24"/>
                <w:szCs w:val="24"/>
                <w:lang w:eastAsia="ru-RU"/>
              </w:rPr>
              <w:t>заційної структури апарату НСЗУ;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</w:t>
            </w:r>
            <w:r w:rsidRPr="00F05CC6">
              <w:rPr>
                <w:sz w:val="24"/>
                <w:szCs w:val="24"/>
                <w:lang w:eastAsia="ru-RU"/>
              </w:rPr>
              <w:t>рганізовує роботу щодо розробки та внесення змін до положень про структурні пі</w:t>
            </w:r>
            <w:r>
              <w:rPr>
                <w:sz w:val="24"/>
                <w:szCs w:val="24"/>
                <w:lang w:eastAsia="ru-RU"/>
              </w:rPr>
              <w:t>дрозділи апарату НСЗУ;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</w:t>
            </w:r>
            <w:r w:rsidRPr="00F05CC6">
              <w:rPr>
                <w:sz w:val="24"/>
                <w:szCs w:val="24"/>
                <w:lang w:eastAsia="ru-RU"/>
              </w:rPr>
              <w:t>рганізовує роботу щодо розробки та актуалізації посадових інструкцій державних службо</w:t>
            </w:r>
            <w:r>
              <w:rPr>
                <w:sz w:val="24"/>
                <w:szCs w:val="24"/>
                <w:lang w:eastAsia="ru-RU"/>
              </w:rPr>
              <w:t>вців і працівників апарату НСЗУ;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</w:t>
            </w:r>
            <w:r w:rsidRPr="00F05CC6">
              <w:rPr>
                <w:sz w:val="24"/>
                <w:szCs w:val="24"/>
                <w:lang w:eastAsia="ru-RU"/>
              </w:rPr>
              <w:t>дійснює моніторинг та аналіз законодавства України, розробляє та опрацьовує проекти організаційно-розпорядчих документів з питань, що належать до компетенції відділу, забезпечує їх методологічну цілісність та</w:t>
            </w:r>
            <w:r>
              <w:rPr>
                <w:sz w:val="24"/>
                <w:szCs w:val="24"/>
                <w:lang w:eastAsia="ru-RU"/>
              </w:rPr>
              <w:t xml:space="preserve"> узгодженість із законодавством;</w:t>
            </w:r>
          </w:p>
          <w:p w:rsidR="00B6317A" w:rsidRPr="00F05CC6" w:rsidRDefault="00B6317A" w:rsidP="00B63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б</w:t>
            </w:r>
            <w:r w:rsidRPr="00F05CC6">
              <w:rPr>
                <w:sz w:val="24"/>
                <w:szCs w:val="24"/>
                <w:lang w:eastAsia="ru-RU"/>
              </w:rPr>
              <w:t xml:space="preserve">ере участь у підготовці керівництву НСЗУ пропозицій щодо встановлення граничної чисельності </w:t>
            </w:r>
            <w:r>
              <w:rPr>
                <w:sz w:val="24"/>
                <w:szCs w:val="24"/>
                <w:lang w:eastAsia="ru-RU"/>
              </w:rPr>
              <w:t>працівників апарату НСЗУ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87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57" w:type="pct"/>
          </w:tcPr>
          <w:p w:rsidR="00061DBA" w:rsidRPr="00D91231" w:rsidRDefault="00061DBA" w:rsidP="00DC303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061DBA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061DBA" w:rsidRPr="00FD11AB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87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57" w:type="pct"/>
          </w:tcPr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87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57" w:type="pct"/>
          </w:tcPr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61DBA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61DBA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DBA" w:rsidRPr="00416ED7" w:rsidRDefault="00061DBA" w:rsidP="00DC3034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061DBA" w:rsidRPr="00416ED7" w:rsidRDefault="00061DBA" w:rsidP="00DC3034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061DBA" w:rsidRPr="00ED5991" w:rsidRDefault="00061DBA" w:rsidP="001E000F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>приймається до 1</w:t>
            </w:r>
            <w:r>
              <w:rPr>
                <w:sz w:val="24"/>
                <w:szCs w:val="24"/>
              </w:rPr>
              <w:t>7</w:t>
            </w:r>
            <w:r w:rsidRPr="00EC35F0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00</w:t>
            </w:r>
            <w:r w:rsidR="001E000F">
              <w:rPr>
                <w:sz w:val="24"/>
                <w:szCs w:val="24"/>
              </w:rPr>
              <w:t xml:space="preserve"> хв 10</w:t>
            </w:r>
            <w:r w:rsidRPr="00EC35F0">
              <w:rPr>
                <w:sz w:val="24"/>
                <w:szCs w:val="24"/>
              </w:rPr>
              <w:t xml:space="preserve"> </w:t>
            </w:r>
            <w:r w:rsidR="009C772D">
              <w:rPr>
                <w:sz w:val="24"/>
                <w:szCs w:val="24"/>
              </w:rPr>
              <w:t>серпня</w:t>
            </w:r>
            <w:r w:rsidRPr="00EC35F0">
              <w:rPr>
                <w:sz w:val="24"/>
                <w:szCs w:val="24"/>
              </w:rPr>
              <w:t xml:space="preserve"> 2021</w:t>
            </w:r>
            <w:r w:rsidR="00AA42DE">
              <w:rPr>
                <w:sz w:val="24"/>
                <w:szCs w:val="24"/>
              </w:rPr>
              <w:t> </w:t>
            </w:r>
            <w:r w:rsidRPr="00EC35F0">
              <w:rPr>
                <w:sz w:val="24"/>
                <w:szCs w:val="24"/>
              </w:rPr>
              <w:t>року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87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57" w:type="pct"/>
          </w:tcPr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061DBA" w:rsidRPr="00ED5991" w:rsidTr="001E000F">
        <w:trPr>
          <w:trHeight w:val="6766"/>
          <w:tblCellSpacing w:w="22" w:type="dxa"/>
        </w:trPr>
        <w:tc>
          <w:tcPr>
            <w:tcW w:w="1878" w:type="pct"/>
            <w:gridSpan w:val="2"/>
          </w:tcPr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57" w:type="pct"/>
          </w:tcPr>
          <w:p w:rsidR="00061DBA" w:rsidRPr="00D3154A" w:rsidRDefault="001E000F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61DBA" w:rsidRPr="00D3154A">
              <w:rPr>
                <w:sz w:val="24"/>
                <w:szCs w:val="24"/>
              </w:rPr>
              <w:t xml:space="preserve"> </w:t>
            </w:r>
            <w:r w:rsidR="00A14F69">
              <w:rPr>
                <w:sz w:val="24"/>
                <w:szCs w:val="24"/>
              </w:rPr>
              <w:t>серпня</w:t>
            </w:r>
            <w:r w:rsidR="00061DBA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061DB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 w:rsidR="00D848AF"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061DBA" w:rsidRPr="00D3154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61DBA" w:rsidRPr="00D3154A" w:rsidRDefault="00061DBA" w:rsidP="00DA18CE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E000F" w:rsidRDefault="001E000F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1E000F" w:rsidRDefault="001E000F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061DBA" w:rsidRPr="00D3154A" w:rsidRDefault="00061DBA" w:rsidP="00DC3034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061DBA" w:rsidRPr="00ED5991" w:rsidTr="001E000F">
        <w:trPr>
          <w:trHeight w:val="1649"/>
          <w:tblCellSpacing w:w="22" w:type="dxa"/>
        </w:trPr>
        <w:tc>
          <w:tcPr>
            <w:tcW w:w="1878" w:type="pct"/>
            <w:gridSpan w:val="2"/>
          </w:tcPr>
          <w:p w:rsidR="00061DBA" w:rsidRPr="00ED5991" w:rsidRDefault="00061DBA" w:rsidP="00BD5580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57" w:type="pct"/>
          </w:tcPr>
          <w:p w:rsidR="009C772D" w:rsidRPr="00DA0AC7" w:rsidRDefault="009C772D" w:rsidP="009C772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061DBA" w:rsidRPr="00ED5991" w:rsidRDefault="009C772D" w:rsidP="009C772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DA0AC7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lastRenderedPageBreak/>
              <w:t>Кваліфікаційні вимоги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57" w:type="pct"/>
          </w:tcPr>
          <w:p w:rsidR="00061DBA" w:rsidRPr="00DA0AC7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57" w:type="pct"/>
          </w:tcPr>
          <w:p w:rsidR="00061DBA" w:rsidRPr="00DA0AC7" w:rsidRDefault="00061DBA" w:rsidP="00DC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57" w:type="pct"/>
          </w:tcPr>
          <w:p w:rsidR="00061DBA" w:rsidRDefault="00061DBA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7B0231" w:rsidRPr="00DA0AC7" w:rsidRDefault="007B0231" w:rsidP="00DC303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0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57" w:type="pct"/>
          </w:tcPr>
          <w:p w:rsidR="00061DBA" w:rsidRDefault="00061DBA" w:rsidP="00DC3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7B0231" w:rsidRPr="00DA0AC7" w:rsidRDefault="007B0231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87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bookmarkEnd w:id="0"/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87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57" w:type="pct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B6317A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57" w:type="pct"/>
          </w:tcPr>
          <w:p w:rsidR="00061DBA" w:rsidRPr="00E42A3F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061DBA" w:rsidRPr="00ED3784" w:rsidRDefault="00061DBA" w:rsidP="00DC3034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061DBA" w:rsidRPr="00ED5991" w:rsidTr="00B6317A">
        <w:trPr>
          <w:trHeight w:val="3451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0" w:type="pct"/>
            <w:shd w:val="clear" w:color="auto" w:fill="auto"/>
          </w:tcPr>
          <w:p w:rsidR="00061DBA" w:rsidRPr="00ED5991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57" w:type="pct"/>
            <w:shd w:val="clear" w:color="auto" w:fill="auto"/>
          </w:tcPr>
          <w:p w:rsidR="00B6317A" w:rsidRPr="00B6317A" w:rsidRDefault="00B6317A" w:rsidP="00B6317A">
            <w:pPr>
              <w:spacing w:line="240" w:lineRule="auto"/>
              <w:ind w:right="26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317A">
              <w:rPr>
                <w:rFonts w:cs="Times New Roman"/>
                <w:sz w:val="24"/>
                <w:szCs w:val="24"/>
                <w:lang w:eastAsia="ru-RU"/>
              </w:rPr>
              <w:t>Знання:</w:t>
            </w:r>
          </w:p>
          <w:p w:rsidR="00B6317A" w:rsidRPr="00B6317A" w:rsidRDefault="00B6317A" w:rsidP="00B6317A">
            <w:pPr>
              <w:spacing w:line="240" w:lineRule="auto"/>
              <w:ind w:left="118" w:right="26" w:hanging="11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317A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B6317A">
              <w:rPr>
                <w:rFonts w:cs="Times New Roman"/>
                <w:sz w:val="24"/>
                <w:szCs w:val="24"/>
              </w:rPr>
              <w:t> </w:t>
            </w:r>
            <w:r w:rsidRPr="00B6317A">
              <w:rPr>
                <w:rFonts w:cs="Times New Roman"/>
                <w:sz w:val="24"/>
                <w:szCs w:val="24"/>
                <w:lang w:eastAsia="ru-RU"/>
              </w:rPr>
              <w:t xml:space="preserve">Закону України </w:t>
            </w:r>
            <w:r w:rsidRPr="00B6317A">
              <w:rPr>
                <w:rFonts w:cs="Times New Roman"/>
                <w:sz w:val="24"/>
                <w:szCs w:val="24"/>
                <w:lang w:val="ru-RU" w:eastAsia="ru-RU"/>
              </w:rPr>
              <w:t>“</w:t>
            </w:r>
            <w:r w:rsidRPr="00B6317A">
              <w:rPr>
                <w:rFonts w:cs="Times New Roman"/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B6317A">
              <w:rPr>
                <w:rFonts w:cs="Times New Roman"/>
                <w:sz w:val="24"/>
                <w:szCs w:val="24"/>
                <w:lang w:val="ru-RU" w:eastAsia="ru-RU"/>
              </w:rPr>
              <w:t>”</w:t>
            </w:r>
            <w:r w:rsidRPr="00B6317A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B6317A" w:rsidRPr="00B6317A" w:rsidRDefault="00B6317A" w:rsidP="00B6317A">
            <w:pPr>
              <w:spacing w:line="240" w:lineRule="auto"/>
              <w:ind w:left="118" w:right="26" w:hanging="11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317A">
              <w:rPr>
                <w:rFonts w:cs="Times New Roman"/>
                <w:sz w:val="24"/>
                <w:szCs w:val="24"/>
                <w:lang w:eastAsia="ru-RU"/>
              </w:rPr>
              <w:t>- Закону України “Про центральні органи виконавчої влади”;</w:t>
            </w:r>
          </w:p>
          <w:p w:rsidR="00B6317A" w:rsidRPr="00B6317A" w:rsidRDefault="00B6317A" w:rsidP="00B6317A">
            <w:pPr>
              <w:spacing w:line="240" w:lineRule="auto"/>
              <w:ind w:left="118" w:right="26" w:hanging="11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6317A">
              <w:rPr>
                <w:rFonts w:cs="Times New Roman"/>
                <w:sz w:val="24"/>
                <w:szCs w:val="24"/>
              </w:rPr>
              <w:t xml:space="preserve">- Постанови Кабінету Міністрів України від 27.12.2017 </w:t>
            </w:r>
            <w:r w:rsidRPr="00B6317A">
              <w:rPr>
                <w:rFonts w:cs="Times New Roman"/>
                <w:sz w:val="24"/>
                <w:szCs w:val="24"/>
              </w:rPr>
              <w:br/>
              <w:t xml:space="preserve">№ 1101 </w:t>
            </w:r>
            <w:r w:rsidRPr="00B6317A">
              <w:rPr>
                <w:rFonts w:cs="Times New Roman"/>
                <w:sz w:val="24"/>
                <w:szCs w:val="24"/>
                <w:lang w:val="ru-RU"/>
              </w:rPr>
              <w:t>“</w:t>
            </w:r>
            <w:r w:rsidRPr="00B6317A">
              <w:rPr>
                <w:rFonts w:cs="Times New Roman"/>
                <w:sz w:val="24"/>
                <w:szCs w:val="24"/>
              </w:rPr>
              <w:t>Про утворення Національної служби здоров’я України</w:t>
            </w:r>
            <w:r w:rsidRPr="00B6317A">
              <w:rPr>
                <w:rFonts w:cs="Times New Roman"/>
                <w:sz w:val="24"/>
                <w:szCs w:val="24"/>
                <w:lang w:val="ru-RU"/>
              </w:rPr>
              <w:t>”</w:t>
            </w:r>
            <w:r w:rsidRPr="00B6317A">
              <w:rPr>
                <w:rFonts w:cs="Times New Roman"/>
                <w:sz w:val="24"/>
                <w:szCs w:val="24"/>
              </w:rPr>
              <w:t>;</w:t>
            </w:r>
          </w:p>
          <w:p w:rsidR="00895AF2" w:rsidRPr="00B6317A" w:rsidRDefault="00B6317A" w:rsidP="00B6317A">
            <w:pPr>
              <w:pStyle w:val="a4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hanging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17A">
              <w:rPr>
                <w:rFonts w:ascii="Times New Roman" w:hAnsi="Times New Roman"/>
                <w:sz w:val="24"/>
                <w:szCs w:val="24"/>
                <w:lang w:eastAsia="ru-RU"/>
              </w:rPr>
              <w:t> Постанови Кабінету Міністрів України від 12.03.2005 № 179 “Про упорядкування структури апарату центральних органів виконавчої влади, їх територіальних підрозділів та місцевих державних адміністрацій”</w:t>
            </w:r>
          </w:p>
        </w:tc>
      </w:tr>
      <w:tr w:rsidR="00B6317A" w:rsidRPr="00ED5991" w:rsidTr="00B6317A">
        <w:trPr>
          <w:tblCellSpacing w:w="22" w:type="dxa"/>
        </w:trPr>
        <w:tc>
          <w:tcPr>
            <w:tcW w:w="157" w:type="pct"/>
          </w:tcPr>
          <w:p w:rsidR="00B6317A" w:rsidRPr="00ED5991" w:rsidRDefault="00B6317A" w:rsidP="00B6317A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pct"/>
            <w:shd w:val="clear" w:color="auto" w:fill="auto"/>
          </w:tcPr>
          <w:p w:rsidR="00B6317A" w:rsidRDefault="00B6317A" w:rsidP="00B6317A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системи організаційного розвитку</w:t>
            </w:r>
          </w:p>
        </w:tc>
        <w:tc>
          <w:tcPr>
            <w:tcW w:w="3057" w:type="pct"/>
            <w:shd w:val="clear" w:color="auto" w:fill="auto"/>
          </w:tcPr>
          <w:p w:rsidR="00B6317A" w:rsidRDefault="00B6317A" w:rsidP="00B6317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Забезпечення організаційного розвитку НСЗУ.</w:t>
            </w:r>
          </w:p>
          <w:p w:rsidR="00B6317A" w:rsidRDefault="00B6317A" w:rsidP="00B6317A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Підготовка пропозицій щодо розвитку та вдосконалення організаційної структури та штатного розпису НСЗУ.</w:t>
            </w:r>
          </w:p>
          <w:p w:rsidR="00B6317A" w:rsidRDefault="00B6317A" w:rsidP="00B6317A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Надання методичної допомоги при розробці положень про структурні підрозділи та посадових інструкцій працівників апарату НСЗУ та підтримка їх в актуальному стані</w:t>
            </w:r>
          </w:p>
        </w:tc>
      </w:tr>
    </w:tbl>
    <w:p w:rsidR="00061DBA" w:rsidRPr="00ED5991" w:rsidRDefault="00061DBA" w:rsidP="00061DBA">
      <w:pPr>
        <w:spacing w:line="240" w:lineRule="auto"/>
      </w:pPr>
    </w:p>
    <w:p w:rsidR="00061DBA" w:rsidRPr="00401739" w:rsidRDefault="00061DBA" w:rsidP="00061DBA"/>
    <w:p w:rsidR="00061DBA" w:rsidRDefault="00061DBA" w:rsidP="00061DBA"/>
    <w:p w:rsidR="00061DBA" w:rsidRDefault="00061DBA" w:rsidP="00061DBA"/>
    <w:p w:rsidR="00061DBA" w:rsidRDefault="00061DBA" w:rsidP="00061DBA"/>
    <w:sectPr w:rsidR="00061DBA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A9B"/>
    <w:multiLevelType w:val="hybridMultilevel"/>
    <w:tmpl w:val="780245B0"/>
    <w:lvl w:ilvl="0" w:tplc="CF36F9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48D9"/>
    <w:multiLevelType w:val="hybridMultilevel"/>
    <w:tmpl w:val="E9505BD4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6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A"/>
    <w:rsid w:val="00061DBA"/>
    <w:rsid w:val="001E000F"/>
    <w:rsid w:val="005D4CA2"/>
    <w:rsid w:val="005E3ED8"/>
    <w:rsid w:val="006017BF"/>
    <w:rsid w:val="00660706"/>
    <w:rsid w:val="006E52D8"/>
    <w:rsid w:val="007B0231"/>
    <w:rsid w:val="008110B0"/>
    <w:rsid w:val="00895AF2"/>
    <w:rsid w:val="009C772D"/>
    <w:rsid w:val="00A14F69"/>
    <w:rsid w:val="00A9647F"/>
    <w:rsid w:val="00AA42DE"/>
    <w:rsid w:val="00AC6831"/>
    <w:rsid w:val="00B6317A"/>
    <w:rsid w:val="00BD5580"/>
    <w:rsid w:val="00C222E3"/>
    <w:rsid w:val="00C673CA"/>
    <w:rsid w:val="00D848AF"/>
    <w:rsid w:val="00DA18CE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7079"/>
  <w15:chartTrackingRefBased/>
  <w15:docId w15:val="{D3FDEEAE-4F3F-4BA0-BBCB-D3511BA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061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061DB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061DBA"/>
  </w:style>
  <w:style w:type="paragraph" w:customStyle="1" w:styleId="rvps14">
    <w:name w:val="rvps14"/>
    <w:basedOn w:val="a"/>
    <w:uiPriority w:val="99"/>
    <w:rsid w:val="00061DB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061DB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061DB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6366</Words>
  <Characters>3629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16</cp:revision>
  <cp:lastPrinted>2021-05-14T10:54:00Z</cp:lastPrinted>
  <dcterms:created xsi:type="dcterms:W3CDTF">2021-05-14T07:59:00Z</dcterms:created>
  <dcterms:modified xsi:type="dcterms:W3CDTF">2021-07-15T13:06:00Z</dcterms:modified>
</cp:coreProperties>
</file>