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061DBA" w:rsidRPr="00ED5991" w:rsidTr="00DC30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DBA" w:rsidRPr="00B91378" w:rsidRDefault="00DA18CE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597700">
              <w:rPr>
                <w:color w:val="000000"/>
                <w:sz w:val="24"/>
                <w:szCs w:val="24"/>
              </w:rPr>
              <w:t xml:space="preserve"> 6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061DBA" w:rsidRPr="00ED5991" w:rsidRDefault="00061DBA" w:rsidP="00D8349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D8349D">
              <w:rPr>
                <w:color w:val="000000"/>
                <w:sz w:val="24"/>
                <w:szCs w:val="24"/>
              </w:rPr>
              <w:t>15.07.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D8349D">
              <w:rPr>
                <w:sz w:val="24"/>
                <w:szCs w:val="24"/>
              </w:rPr>
              <w:t xml:space="preserve">448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061DBA" w:rsidRPr="00ED599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061DBA" w:rsidRPr="00EC6E74" w:rsidRDefault="00061DBA" w:rsidP="00061DB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061DBA" w:rsidRPr="00EC6E74" w:rsidRDefault="00061DBA" w:rsidP="00061DB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DA18CE" w:rsidRDefault="00061DBA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1A56E0">
        <w:rPr>
          <w:rFonts w:ascii="Times New Roman" w:hAnsi="Times New Roman"/>
          <w:sz w:val="24"/>
          <w:szCs w:val="24"/>
        </w:rPr>
        <w:t>головн</w:t>
      </w:r>
      <w:r>
        <w:rPr>
          <w:rFonts w:ascii="Times New Roman" w:hAnsi="Times New Roman"/>
          <w:sz w:val="24"/>
          <w:szCs w:val="24"/>
        </w:rPr>
        <w:t>ого</w:t>
      </w:r>
      <w:r w:rsidRPr="001A56E0">
        <w:rPr>
          <w:rFonts w:ascii="Times New Roman" w:hAnsi="Times New Roman"/>
          <w:sz w:val="24"/>
          <w:szCs w:val="24"/>
        </w:rPr>
        <w:t xml:space="preserve"> спеціаліст</w:t>
      </w:r>
      <w:r>
        <w:rPr>
          <w:rFonts w:ascii="Times New Roman" w:hAnsi="Times New Roman"/>
          <w:sz w:val="24"/>
          <w:szCs w:val="24"/>
        </w:rPr>
        <w:t>а</w:t>
      </w:r>
      <w:r w:rsidRPr="001A56E0">
        <w:rPr>
          <w:rFonts w:ascii="Times New Roman" w:hAnsi="Times New Roman"/>
          <w:sz w:val="24"/>
          <w:szCs w:val="24"/>
        </w:rPr>
        <w:t xml:space="preserve"> відділу </w:t>
      </w:r>
      <w:r w:rsidR="00DA18CE" w:rsidRPr="00DA2433">
        <w:rPr>
          <w:rFonts w:ascii="Times New Roman" w:hAnsi="Times New Roman"/>
          <w:sz w:val="24"/>
          <w:szCs w:val="24"/>
        </w:rPr>
        <w:t>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</w:t>
      </w:r>
      <w:r w:rsidR="00DA18CE" w:rsidRPr="009971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772D" w:rsidRDefault="009C772D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(перша вакантна посада)</w:t>
      </w:r>
    </w:p>
    <w:p w:rsidR="00597700" w:rsidRDefault="00597700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04"/>
        <w:gridCol w:w="6316"/>
      </w:tblGrid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8" w:type="pct"/>
            <w:shd w:val="clear" w:color="auto" w:fill="auto"/>
          </w:tcPr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п</w:t>
            </w:r>
            <w:r w:rsidRPr="00D57375">
              <w:t xml:space="preserve">роводить підготовчу роботу для укладення  договорів про медичне обслуговування населення щодо спеціалізованої, високоспеціалізованої </w:t>
            </w:r>
            <w:r>
              <w:t>та екстреної медичної допомоги;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з</w:t>
            </w:r>
            <w:r w:rsidRPr="00D57375">
              <w:t>абезпечує укладення, зміну та припинення  договорів про медичне обслуговування населення щодо спеціалізованої, високоспеціалізованої та екстреної медичної допомоги</w:t>
            </w:r>
            <w:r>
              <w:t>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з</w:t>
            </w:r>
            <w:r w:rsidRPr="00D57375">
              <w:t>дійснює підготовчу роботу для проведення оплати за договорами про медичне обслуговування населення щодо спеціалізованої, високоспеціалізованої</w:t>
            </w:r>
            <w:r>
              <w:t xml:space="preserve"> та екстреної медичної допомоги;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а</w:t>
            </w:r>
            <w:r w:rsidRPr="00D57375">
              <w:t>налізує звітність надавачів спеціалізованої, високоспеціалізованої та екстреної медичної допомоги щодо переліку та обсягу наданих медичних послуг за договорами про медичне обслуговування населення щодо спеціалізованої, високоспеціалізованої</w:t>
            </w:r>
            <w:r>
              <w:t xml:space="preserve"> та екстреної медичної допомоги;</w:t>
            </w:r>
          </w:p>
          <w:p w:rsidR="00061DBA" w:rsidRPr="00D848AF" w:rsidRDefault="00DA18CE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>в</w:t>
            </w:r>
            <w:r w:rsidRPr="00D57375">
              <w:t>заємодіє з надавачами спеціалізованої, високоспеціалізованої та екстреної медичної допомоги з питань, що належать до компетенції відділу</w:t>
            </w:r>
            <w:r w:rsidR="00D848AF">
              <w:t>;</w:t>
            </w:r>
          </w:p>
          <w:p w:rsidR="00D848AF" w:rsidRPr="003C2518" w:rsidRDefault="00D848AF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 xml:space="preserve">бере участь у розробці </w:t>
            </w:r>
            <w:proofErr w:type="spellStart"/>
            <w:r>
              <w:t>проєкту</w:t>
            </w:r>
            <w:proofErr w:type="spellEnd"/>
            <w:r>
              <w:t xml:space="preserve"> програми державних гарантій медичного обслуговування населення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68" w:type="pct"/>
          </w:tcPr>
          <w:p w:rsidR="00061DBA" w:rsidRPr="00D91231" w:rsidRDefault="00061DBA" w:rsidP="00DC303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061DBA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61DBA" w:rsidRPr="00FD11AB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8" w:type="pct"/>
          </w:tcPr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61DBA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1DBA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DBA" w:rsidRPr="00416ED7" w:rsidRDefault="00061DBA" w:rsidP="00DC3034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61DBA" w:rsidRPr="00416ED7" w:rsidRDefault="00061DBA" w:rsidP="00DC3034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61DBA" w:rsidRPr="00ED5991" w:rsidRDefault="00061DBA" w:rsidP="00E830B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7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00</w:t>
            </w:r>
            <w:r w:rsidR="00E830B4">
              <w:rPr>
                <w:sz w:val="24"/>
                <w:szCs w:val="24"/>
              </w:rPr>
              <w:t xml:space="preserve"> хв 10</w:t>
            </w:r>
            <w:r w:rsidRPr="00EC35F0">
              <w:rPr>
                <w:sz w:val="24"/>
                <w:szCs w:val="24"/>
              </w:rPr>
              <w:t xml:space="preserve"> </w:t>
            </w:r>
            <w:r w:rsidR="009C772D">
              <w:rPr>
                <w:sz w:val="24"/>
                <w:szCs w:val="24"/>
              </w:rPr>
              <w:t>серпня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8" w:type="pct"/>
          </w:tcPr>
          <w:p w:rsidR="00061DBA" w:rsidRPr="00D3154A" w:rsidRDefault="00E830B4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61DBA" w:rsidRPr="00D3154A">
              <w:rPr>
                <w:sz w:val="24"/>
                <w:szCs w:val="24"/>
              </w:rPr>
              <w:t xml:space="preserve"> </w:t>
            </w:r>
            <w:r w:rsidR="0087370D">
              <w:rPr>
                <w:sz w:val="24"/>
                <w:szCs w:val="24"/>
              </w:rPr>
              <w:t>серпня</w:t>
            </w:r>
            <w:r w:rsidR="00061DBA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061DB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 w:rsidR="00D848AF"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61DBA" w:rsidRPr="00D3154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61DBA" w:rsidRPr="00D3154A" w:rsidRDefault="00061DBA" w:rsidP="00DA18CE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061DBA" w:rsidRPr="00D3154A" w:rsidRDefault="00061DBA" w:rsidP="00DC3034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BD558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8" w:type="pct"/>
          </w:tcPr>
          <w:p w:rsidR="009C772D" w:rsidRPr="00DA0AC7" w:rsidRDefault="009C772D" w:rsidP="009C772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61DBA" w:rsidRPr="00ED5991" w:rsidRDefault="009C772D" w:rsidP="009C772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DA0AC7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7B0231" w:rsidRPr="00DA0AC7" w:rsidRDefault="007B0231" w:rsidP="00DC30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7B0231" w:rsidRPr="00DA0AC7" w:rsidRDefault="007B0231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8" w:type="pct"/>
          </w:tcPr>
          <w:p w:rsidR="00061DBA" w:rsidRPr="00E42A3F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61DBA" w:rsidRPr="00ED3784" w:rsidRDefault="00061DBA" w:rsidP="00DC303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61DBA" w:rsidRPr="00ED5991" w:rsidTr="00597700">
        <w:trPr>
          <w:trHeight w:val="6780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shd w:val="clear" w:color="auto" w:fill="auto"/>
          </w:tcPr>
          <w:p w:rsidR="00061DBA" w:rsidRPr="00ED5991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8" w:type="pct"/>
            <w:shd w:val="clear" w:color="auto" w:fill="auto"/>
          </w:tcPr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Знання:</w:t>
            </w:r>
          </w:p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sz w:val="24"/>
                <w:szCs w:val="24"/>
                <w:lang w:val="ru-RU"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>
              <w:rPr>
                <w:sz w:val="24"/>
                <w:szCs w:val="24"/>
                <w:lang w:val="ru-RU"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C222E3" w:rsidRDefault="00DA18CE" w:rsidP="00DA18C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Постанови Кабінету Міністрів України від 27.12.2017 </w:t>
            </w:r>
            <w:r>
              <w:rPr>
                <w:sz w:val="24"/>
                <w:szCs w:val="24"/>
              </w:rPr>
              <w:br/>
              <w:t>№ 1101 “Про утворення Національної служби здоров’я України”;</w:t>
            </w:r>
          </w:p>
          <w:p w:rsidR="00DA18CE" w:rsidRDefault="00C222E3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Постанови Кабінету Міністрів України від 27.12.2017 № 1075 “Про затвердження Методики розрахунку вартості послуги з медичного обслуговування”;</w:t>
            </w:r>
          </w:p>
          <w:p w:rsidR="00C222E3" w:rsidRDefault="00DA18CE" w:rsidP="00C222E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 від 25.04.2018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№ 410 “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 договори про медичне обслуговування населення за програмою медичних гарантій</w:t>
            </w:r>
            <w:r>
              <w:rPr>
                <w:color w:val="000000"/>
                <w:sz w:val="24"/>
                <w:szCs w:val="24"/>
                <w:lang w:eastAsia="ru-RU"/>
              </w:rPr>
              <w:t>”;</w:t>
            </w:r>
          </w:p>
          <w:p w:rsidR="00C222E3" w:rsidRDefault="00C222E3" w:rsidP="00C222E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Постанови Кабінету Міністрів України від 25.04.2018 № 411 “Деякі питання електронної системи охорони здоров’я”;</w:t>
            </w:r>
          </w:p>
          <w:p w:rsidR="00C222E3" w:rsidRDefault="00C222E3" w:rsidP="00C222E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DA18C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DA18CE">
              <w:rPr>
                <w:sz w:val="24"/>
                <w:szCs w:val="24"/>
                <w:lang w:eastAsia="ru-RU"/>
              </w:rPr>
              <w:t>Постанови Кабінету Міністрів України від 28.03.2018 № 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95AF2" w:rsidRPr="00C222E3" w:rsidRDefault="00C222E3" w:rsidP="00C222E3">
            <w:pPr>
              <w:tabs>
                <w:tab w:val="left" w:pos="18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4535">
              <w:rPr>
                <w:sz w:val="24"/>
                <w:szCs w:val="24"/>
                <w:lang w:eastAsia="ru-RU"/>
              </w:rPr>
              <w:t>-</w:t>
            </w:r>
            <w:r w:rsidRPr="00E64535">
              <w:rPr>
                <w:sz w:val="24"/>
                <w:szCs w:val="24"/>
                <w:lang w:eastAsia="ru-RU"/>
              </w:rPr>
              <w:tab/>
              <w:t>Постанови Кабінету Мін</w:t>
            </w:r>
            <w:r>
              <w:rPr>
                <w:sz w:val="24"/>
                <w:szCs w:val="24"/>
                <w:lang w:eastAsia="ru-RU"/>
              </w:rPr>
              <w:t>істрів України від 15.02.2021 № </w:t>
            </w:r>
            <w:r w:rsidRPr="00E64535">
              <w:rPr>
                <w:sz w:val="24"/>
                <w:szCs w:val="24"/>
                <w:lang w:eastAsia="ru-RU"/>
              </w:rPr>
              <w:t>133 “Деякі питання реалізації програми державних гарантій медичного обслуговування населен</w:t>
            </w:r>
            <w:r>
              <w:rPr>
                <w:sz w:val="24"/>
                <w:szCs w:val="24"/>
                <w:lang w:eastAsia="ru-RU"/>
              </w:rPr>
              <w:t>ня у II-IV кварталах 2021 року”</w:t>
            </w:r>
          </w:p>
        </w:tc>
      </w:tr>
      <w:tr w:rsidR="00DA18CE" w:rsidRPr="00ED5991" w:rsidTr="00597700">
        <w:trPr>
          <w:tblCellSpacing w:w="22" w:type="dxa"/>
        </w:trPr>
        <w:tc>
          <w:tcPr>
            <w:tcW w:w="157" w:type="pct"/>
          </w:tcPr>
          <w:p w:rsidR="00DA18CE" w:rsidRPr="00ED5991" w:rsidRDefault="00DA18CE" w:rsidP="00DA18CE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shd w:val="clear" w:color="auto" w:fill="auto"/>
          </w:tcPr>
          <w:p w:rsidR="00DA18CE" w:rsidRDefault="00DA18CE" w:rsidP="00D848AF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системи роботи з договорами</w:t>
            </w:r>
            <w:r w:rsidR="009C772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про медичне обслуговування населення</w:t>
            </w:r>
          </w:p>
        </w:tc>
        <w:tc>
          <w:tcPr>
            <w:tcW w:w="3068" w:type="pct"/>
            <w:shd w:val="clear" w:color="auto" w:fill="auto"/>
          </w:tcPr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Забезпечення здійснення підготовчої роботи </w:t>
            </w:r>
            <w:r>
              <w:rPr>
                <w:color w:val="000000"/>
                <w:sz w:val="24"/>
                <w:szCs w:val="24"/>
              </w:rPr>
              <w:t xml:space="preserve">для укладення, зміни та припинення договорів про медичне обслуговування населення щодо </w:t>
            </w:r>
            <w:r w:rsidRPr="00D57375">
              <w:rPr>
                <w:sz w:val="24"/>
                <w:szCs w:val="24"/>
              </w:rPr>
              <w:t xml:space="preserve">спеціалізованої, високоспеціалізованої </w:t>
            </w:r>
            <w:r>
              <w:rPr>
                <w:sz w:val="24"/>
                <w:szCs w:val="24"/>
              </w:rPr>
              <w:t>та екстреної медичної допомоги</w:t>
            </w:r>
          </w:p>
        </w:tc>
      </w:tr>
    </w:tbl>
    <w:p w:rsidR="00061DBA" w:rsidRPr="00ED5991" w:rsidRDefault="00061DBA" w:rsidP="00061DBA">
      <w:pPr>
        <w:spacing w:line="240" w:lineRule="auto"/>
      </w:pPr>
    </w:p>
    <w:p w:rsidR="00061DBA" w:rsidRPr="00401739" w:rsidRDefault="00061DBA" w:rsidP="00061DBA"/>
    <w:p w:rsidR="00061DBA" w:rsidRDefault="00061DBA" w:rsidP="00061DBA"/>
    <w:p w:rsidR="00061DBA" w:rsidRDefault="00061DBA" w:rsidP="00061DBA"/>
    <w:p w:rsidR="00061DBA" w:rsidRDefault="00061DBA" w:rsidP="00061DBA"/>
    <w:sectPr w:rsidR="00061DBA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A"/>
    <w:rsid w:val="00061DBA"/>
    <w:rsid w:val="00597700"/>
    <w:rsid w:val="005D4CA2"/>
    <w:rsid w:val="005E3ED8"/>
    <w:rsid w:val="006017BF"/>
    <w:rsid w:val="006E52D8"/>
    <w:rsid w:val="007B0231"/>
    <w:rsid w:val="008110B0"/>
    <w:rsid w:val="0087370D"/>
    <w:rsid w:val="00895AF2"/>
    <w:rsid w:val="009C772D"/>
    <w:rsid w:val="00BD5580"/>
    <w:rsid w:val="00C222E3"/>
    <w:rsid w:val="00C673CA"/>
    <w:rsid w:val="00D8349D"/>
    <w:rsid w:val="00D848AF"/>
    <w:rsid w:val="00DA18CE"/>
    <w:rsid w:val="00E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CE7C"/>
  <w15:chartTrackingRefBased/>
  <w15:docId w15:val="{D3FDEEAE-4F3F-4BA0-BBCB-D3511BA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06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061DB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061DBA"/>
  </w:style>
  <w:style w:type="paragraph" w:customStyle="1" w:styleId="rvps14">
    <w:name w:val="rvps14"/>
    <w:basedOn w:val="a"/>
    <w:uiPriority w:val="99"/>
    <w:rsid w:val="00061DB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061DB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061DB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5644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13</cp:revision>
  <cp:lastPrinted>2021-05-14T10:54:00Z</cp:lastPrinted>
  <dcterms:created xsi:type="dcterms:W3CDTF">2021-05-14T07:59:00Z</dcterms:created>
  <dcterms:modified xsi:type="dcterms:W3CDTF">2021-07-15T13:17:00Z</dcterms:modified>
</cp:coreProperties>
</file>