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061DBA" w:rsidRPr="00ED5991" w:rsidTr="00DC30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1DBA" w:rsidRPr="00B91378" w:rsidRDefault="00DA18CE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Додаток</w:t>
            </w:r>
            <w:r w:rsidR="00252801">
              <w:rPr>
                <w:color w:val="000000"/>
                <w:sz w:val="24"/>
                <w:szCs w:val="24"/>
              </w:rPr>
              <w:t xml:space="preserve"> 7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061DBA" w:rsidRPr="00ED5991" w:rsidRDefault="0044050E" w:rsidP="0044050E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 15.07</w:t>
            </w:r>
            <w:r w:rsidR="00061DBA" w:rsidRPr="00D3154A">
              <w:rPr>
                <w:color w:val="000000"/>
                <w:sz w:val="24"/>
                <w:szCs w:val="24"/>
              </w:rPr>
              <w:t>.</w:t>
            </w:r>
            <w:r w:rsidR="00061DBA"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="00061DBA" w:rsidRPr="00D3154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448</w:t>
            </w:r>
            <w:r w:rsidR="00061DBA">
              <w:rPr>
                <w:sz w:val="24"/>
                <w:szCs w:val="24"/>
              </w:rPr>
              <w:t xml:space="preserve"> </w:t>
            </w:r>
            <w:r w:rsidR="00061DBA" w:rsidRPr="00D3154A">
              <w:rPr>
                <w:sz w:val="24"/>
                <w:szCs w:val="24"/>
              </w:rPr>
              <w:t>-</w:t>
            </w:r>
            <w:r w:rsidR="00061DBA">
              <w:rPr>
                <w:sz w:val="24"/>
                <w:szCs w:val="24"/>
              </w:rPr>
              <w:t xml:space="preserve"> </w:t>
            </w:r>
            <w:r w:rsidR="00061DBA" w:rsidRPr="00D3154A">
              <w:rPr>
                <w:sz w:val="24"/>
                <w:szCs w:val="24"/>
              </w:rPr>
              <w:t>к</w:t>
            </w:r>
          </w:p>
        </w:tc>
      </w:tr>
    </w:tbl>
    <w:p w:rsidR="00061DBA" w:rsidRPr="00ED5991" w:rsidRDefault="00061DBA" w:rsidP="00061DB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061DBA" w:rsidRPr="00EC6E74" w:rsidRDefault="00061DBA" w:rsidP="00061DBA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061DBA" w:rsidRPr="00EC6E74" w:rsidRDefault="00061DBA" w:rsidP="00061DB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DA18CE" w:rsidRDefault="00061DBA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1A56E0">
        <w:rPr>
          <w:rFonts w:ascii="Times New Roman" w:hAnsi="Times New Roman"/>
          <w:sz w:val="24"/>
          <w:szCs w:val="24"/>
        </w:rPr>
        <w:t>головн</w:t>
      </w:r>
      <w:r>
        <w:rPr>
          <w:rFonts w:ascii="Times New Roman" w:hAnsi="Times New Roman"/>
          <w:sz w:val="24"/>
          <w:szCs w:val="24"/>
        </w:rPr>
        <w:t>ого</w:t>
      </w:r>
      <w:r w:rsidRPr="001A56E0">
        <w:rPr>
          <w:rFonts w:ascii="Times New Roman" w:hAnsi="Times New Roman"/>
          <w:sz w:val="24"/>
          <w:szCs w:val="24"/>
        </w:rPr>
        <w:t xml:space="preserve"> спеціаліст</w:t>
      </w:r>
      <w:r>
        <w:rPr>
          <w:rFonts w:ascii="Times New Roman" w:hAnsi="Times New Roman"/>
          <w:sz w:val="24"/>
          <w:szCs w:val="24"/>
        </w:rPr>
        <w:t>а</w:t>
      </w:r>
      <w:r w:rsidRPr="001A56E0">
        <w:rPr>
          <w:rFonts w:ascii="Times New Roman" w:hAnsi="Times New Roman"/>
          <w:sz w:val="24"/>
          <w:szCs w:val="24"/>
        </w:rPr>
        <w:t xml:space="preserve"> відділу </w:t>
      </w:r>
      <w:r w:rsidR="00DA18CE" w:rsidRPr="00DA2433">
        <w:rPr>
          <w:rFonts w:ascii="Times New Roman" w:hAnsi="Times New Roman"/>
          <w:sz w:val="24"/>
          <w:szCs w:val="24"/>
        </w:rPr>
        <w:t>роботи з договорами щодо спеціалізованої, високоспеціалізованої та екстреної медичної допомоги управління роботи з договорами щодо спеціалізованої медичної допомоги Департаменту договірної роботи</w:t>
      </w:r>
      <w:r w:rsidR="00DA18CE" w:rsidRPr="009971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772D" w:rsidRDefault="009C772D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="00252801">
        <w:rPr>
          <w:rFonts w:ascii="Times New Roman" w:hAnsi="Times New Roman"/>
          <w:color w:val="000000"/>
          <w:sz w:val="24"/>
          <w:szCs w:val="24"/>
        </w:rPr>
        <w:t>друга</w:t>
      </w:r>
      <w:r>
        <w:rPr>
          <w:rFonts w:ascii="Times New Roman" w:hAnsi="Times New Roman"/>
          <w:color w:val="000000"/>
          <w:sz w:val="24"/>
          <w:szCs w:val="24"/>
        </w:rPr>
        <w:t xml:space="preserve"> вакантна посада)</w:t>
      </w:r>
    </w:p>
    <w:p w:rsidR="00597700" w:rsidRDefault="00597700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04"/>
        <w:gridCol w:w="6316"/>
      </w:tblGrid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68" w:type="pct"/>
            <w:shd w:val="clear" w:color="auto" w:fill="auto"/>
          </w:tcPr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п</w:t>
            </w:r>
            <w:r w:rsidRPr="00D57375">
              <w:t xml:space="preserve">роводить підготовчу роботу для укладення  договорів про медичне обслуговування населення щодо спеціалізованої, високоспеціалізованої </w:t>
            </w:r>
            <w:r>
              <w:t>та екстреної медичної допомоги;</w:t>
            </w:r>
          </w:p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з</w:t>
            </w:r>
            <w:r w:rsidRPr="00D57375">
              <w:t>абезпечує укладення, зміну та припинення  договорів про медичне обслуговування населення щодо спеціалізованої, високоспеціалізованої та екстреної медичної допомоги</w:t>
            </w:r>
            <w:r>
              <w:t>;</w:t>
            </w:r>
          </w:p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з</w:t>
            </w:r>
            <w:r w:rsidRPr="00D57375">
              <w:t>дійснює підготовчу роботу для проведення оплати за договорами про медичне обслуговування населення щодо спеціалізованої, високоспеціалізованої</w:t>
            </w:r>
            <w:r>
              <w:t xml:space="preserve"> та екстреної медичної допомоги;</w:t>
            </w:r>
          </w:p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а</w:t>
            </w:r>
            <w:r w:rsidRPr="00D57375">
              <w:t>налізує звітність надавачів спеціалізованої, високоспеціалізованої та екстреної медичної допомоги щодо переліку та обсягу наданих медичних послуг за договорами про медичне обслуговування населення щодо спеціалізованої, високоспеціалізованої</w:t>
            </w:r>
            <w:r>
              <w:t xml:space="preserve"> та екстреної медичної допомоги;</w:t>
            </w:r>
          </w:p>
          <w:p w:rsidR="00061DBA" w:rsidRPr="00D848AF" w:rsidRDefault="00DA18CE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>
              <w:t>в</w:t>
            </w:r>
            <w:r w:rsidRPr="00D57375">
              <w:t>заємодіє з надавачами спеціалізованої, високоспеціалізованої та екстреної медичної допомоги з питань, що належать до компетенції відділу</w:t>
            </w:r>
            <w:r w:rsidR="00D848AF">
              <w:t>;</w:t>
            </w:r>
          </w:p>
          <w:p w:rsidR="00D848AF" w:rsidRPr="003C2518" w:rsidRDefault="00D848AF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>
              <w:t xml:space="preserve">бере участь у розробці </w:t>
            </w:r>
            <w:proofErr w:type="spellStart"/>
            <w:r>
              <w:t>проєкту</w:t>
            </w:r>
            <w:proofErr w:type="spellEnd"/>
            <w:r>
              <w:t xml:space="preserve"> програми державних гарантій медичного обслуговування населення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68" w:type="pct"/>
          </w:tcPr>
          <w:p w:rsidR="00061DBA" w:rsidRPr="00D91231" w:rsidRDefault="00061DBA" w:rsidP="00DC3034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061DBA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061DBA" w:rsidRPr="00FD11AB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68" w:type="pct"/>
          </w:tcPr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lastRenderedPageBreak/>
              <w:t>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61DBA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61DBA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DBA" w:rsidRPr="00416ED7" w:rsidRDefault="00061DBA" w:rsidP="00DC3034">
            <w:pPr>
              <w:spacing w:line="240" w:lineRule="auto"/>
              <w:ind w:firstLine="284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16ED7">
              <w:rPr>
                <w:sz w:val="24"/>
                <w:szCs w:val="24"/>
              </w:rPr>
              <w:t>Особа, яка бажає взяти участь у конкурсі, може подат</w:t>
            </w:r>
            <w:r>
              <w:rPr>
                <w:sz w:val="24"/>
                <w:szCs w:val="24"/>
              </w:rPr>
              <w:t xml:space="preserve">и конкурсній комісії інформацію </w:t>
            </w:r>
            <w:r w:rsidRPr="00416ED7">
              <w:rPr>
                <w:sz w:val="24"/>
                <w:szCs w:val="24"/>
              </w:rPr>
              <w:t xml:space="preserve">через Єдиний портал вакансій державної служби за посиланням </w:t>
            </w:r>
            <w:hyperlink r:id="rId5" w:history="1">
              <w:r w:rsidRPr="000A6E98">
                <w:rPr>
                  <w:rStyle w:val="a3"/>
                  <w:rFonts w:eastAsiaTheme="majorEastAsia"/>
                  <w:color w:val="000000"/>
                  <w:sz w:val="24"/>
                  <w:szCs w:val="24"/>
                </w:rPr>
                <w:t>https://career.gov.ua/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 w:rsidR="00061DBA" w:rsidRPr="00416ED7" w:rsidRDefault="00061DBA" w:rsidP="00DC3034">
            <w:pPr>
              <w:spacing w:line="240" w:lineRule="auto"/>
              <w:jc w:val="both"/>
              <w:textAlignment w:val="baseline"/>
              <w:rPr>
                <w:spacing w:val="-6"/>
                <w:sz w:val="24"/>
                <w:szCs w:val="24"/>
              </w:rPr>
            </w:pPr>
          </w:p>
          <w:p w:rsidR="00061DBA" w:rsidRPr="00ED5991" w:rsidRDefault="00061DBA" w:rsidP="00E830B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A5770C">
              <w:rPr>
                <w:sz w:val="24"/>
                <w:szCs w:val="24"/>
              </w:rPr>
              <w:t xml:space="preserve">Інформація </w:t>
            </w:r>
            <w:r w:rsidRPr="00EC35F0">
              <w:rPr>
                <w:sz w:val="24"/>
                <w:szCs w:val="24"/>
              </w:rPr>
              <w:t>приймається до 1</w:t>
            </w:r>
            <w:r>
              <w:rPr>
                <w:sz w:val="24"/>
                <w:szCs w:val="24"/>
              </w:rPr>
              <w:t>7</w:t>
            </w:r>
            <w:r w:rsidRPr="00EC35F0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00</w:t>
            </w:r>
            <w:r w:rsidR="00E830B4">
              <w:rPr>
                <w:sz w:val="24"/>
                <w:szCs w:val="24"/>
              </w:rPr>
              <w:t xml:space="preserve"> хв 10</w:t>
            </w:r>
            <w:r w:rsidRPr="00EC35F0">
              <w:rPr>
                <w:sz w:val="24"/>
                <w:szCs w:val="24"/>
              </w:rPr>
              <w:t xml:space="preserve"> </w:t>
            </w:r>
            <w:r w:rsidR="009C772D">
              <w:rPr>
                <w:sz w:val="24"/>
                <w:szCs w:val="24"/>
              </w:rPr>
              <w:t>серпня</w:t>
            </w:r>
            <w:r w:rsidRPr="00EC35F0">
              <w:rPr>
                <w:sz w:val="24"/>
                <w:szCs w:val="24"/>
              </w:rPr>
              <w:t xml:space="preserve"> 2021 року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68" w:type="pct"/>
          </w:tcPr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B0231" w:rsidRDefault="007B0231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B0231" w:rsidRDefault="007B0231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B0231" w:rsidRDefault="007B0231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68" w:type="pct"/>
          </w:tcPr>
          <w:p w:rsidR="00061DBA" w:rsidRPr="00D3154A" w:rsidRDefault="00E830B4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061DBA" w:rsidRPr="00D3154A">
              <w:rPr>
                <w:sz w:val="24"/>
                <w:szCs w:val="24"/>
              </w:rPr>
              <w:t xml:space="preserve"> </w:t>
            </w:r>
            <w:r w:rsidR="0087370D">
              <w:rPr>
                <w:sz w:val="24"/>
                <w:szCs w:val="24"/>
              </w:rPr>
              <w:t>серпня</w:t>
            </w:r>
            <w:r w:rsidR="00061DBA"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061DB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 w:rsidR="00D848AF"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061DBA" w:rsidRPr="00D3154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61DBA" w:rsidRPr="00D3154A" w:rsidRDefault="00061DBA" w:rsidP="00DA18CE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061DBA" w:rsidRPr="00D3154A" w:rsidRDefault="00061DBA" w:rsidP="00DC3034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BD5580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68" w:type="pct"/>
          </w:tcPr>
          <w:p w:rsidR="009C772D" w:rsidRPr="00DA0AC7" w:rsidRDefault="009C772D" w:rsidP="009C772D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A0AC7">
              <w:rPr>
                <w:sz w:val="24"/>
                <w:szCs w:val="24"/>
                <w:lang w:eastAsia="ru-RU"/>
              </w:rPr>
              <w:t xml:space="preserve">Федько Наталія Миколаївна, </w:t>
            </w:r>
            <w:proofErr w:type="spellStart"/>
            <w:r w:rsidRPr="00DA0AC7">
              <w:rPr>
                <w:sz w:val="24"/>
                <w:szCs w:val="24"/>
                <w:lang w:eastAsia="ru-RU"/>
              </w:rPr>
              <w:t>тел</w:t>
            </w:r>
            <w:proofErr w:type="spellEnd"/>
            <w:r w:rsidRPr="00DA0AC7">
              <w:rPr>
                <w:sz w:val="24"/>
                <w:szCs w:val="24"/>
                <w:lang w:eastAsia="ru-RU"/>
              </w:rPr>
              <w:t xml:space="preserve">. (044) 290-01-18, </w:t>
            </w:r>
          </w:p>
          <w:p w:rsidR="00061DBA" w:rsidRPr="00ED5991" w:rsidRDefault="009C772D" w:rsidP="009C772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nataliia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</w:rPr>
              <w:t>fedko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nszu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DA0AC7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68" w:type="pct"/>
          </w:tcPr>
          <w:p w:rsidR="00061DBA" w:rsidRPr="00DA0AC7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68" w:type="pct"/>
          </w:tcPr>
          <w:p w:rsidR="00061DBA" w:rsidRPr="00DA0AC7" w:rsidRDefault="00061DBA" w:rsidP="00DC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7B0231" w:rsidRPr="00DA0AC7" w:rsidRDefault="007B0231" w:rsidP="00DC303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7B0231" w:rsidRPr="00DA0AC7" w:rsidRDefault="007B0231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8" w:type="pct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bookmarkEnd w:id="0"/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8" w:type="pct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68" w:type="pct"/>
          </w:tcPr>
          <w:p w:rsidR="00061DBA" w:rsidRPr="00E42A3F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061DBA" w:rsidRPr="00ED3784" w:rsidRDefault="00061DBA" w:rsidP="00DC3034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061DBA" w:rsidRPr="00ED5991" w:rsidTr="00597700">
        <w:trPr>
          <w:trHeight w:val="6780"/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  <w:shd w:val="clear" w:color="auto" w:fill="auto"/>
          </w:tcPr>
          <w:p w:rsidR="00061DBA" w:rsidRPr="00ED5991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68" w:type="pct"/>
            <w:shd w:val="clear" w:color="auto" w:fill="auto"/>
          </w:tcPr>
          <w:p w:rsidR="00DA18CE" w:rsidRDefault="00DA18CE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Знання:</w:t>
            </w:r>
          </w:p>
          <w:p w:rsidR="00DA18CE" w:rsidRDefault="00DA18CE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 Закону України </w:t>
            </w:r>
            <w:r>
              <w:rPr>
                <w:sz w:val="24"/>
                <w:szCs w:val="24"/>
                <w:lang w:val="ru-RU" w:eastAsia="ru-RU"/>
              </w:rPr>
              <w:t>“</w:t>
            </w:r>
            <w:r>
              <w:rPr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>
              <w:rPr>
                <w:sz w:val="24"/>
                <w:szCs w:val="24"/>
                <w:lang w:val="ru-RU" w:eastAsia="ru-RU"/>
              </w:rPr>
              <w:t>”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C222E3" w:rsidRDefault="00DA18CE" w:rsidP="00DA18C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Постанови Кабінету Міністрів України від 27.12.2017 </w:t>
            </w:r>
            <w:r>
              <w:rPr>
                <w:sz w:val="24"/>
                <w:szCs w:val="24"/>
              </w:rPr>
              <w:br/>
              <w:t>№ 1101 “Про утворення Національної служби здоров’я України”;</w:t>
            </w:r>
          </w:p>
          <w:p w:rsidR="00DA18CE" w:rsidRDefault="00C222E3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Постанови Кабінету Міністрів України від 27.12.2017 № 1075 “Про затвердження Методики розрахунку вартості послуги з медичного обслуговування”;</w:t>
            </w:r>
          </w:p>
          <w:p w:rsidR="00C222E3" w:rsidRDefault="00DA18CE" w:rsidP="00C222E3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Постанови Кабінету Міністрів України від 25.04.2018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№ 410 “</w:t>
            </w:r>
            <w:r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Про договори про медичне обслуговування населення за програмою медичних гарантій</w:t>
            </w:r>
            <w:r>
              <w:rPr>
                <w:color w:val="000000"/>
                <w:sz w:val="24"/>
                <w:szCs w:val="24"/>
                <w:lang w:eastAsia="ru-RU"/>
              </w:rPr>
              <w:t>”;</w:t>
            </w:r>
          </w:p>
          <w:p w:rsidR="00C222E3" w:rsidRDefault="00C222E3" w:rsidP="00C222E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Постанови Кабінету Міністрів України від 25.04.2018 № 411 “Деякі питання електронної системи охорони здоров’я”;</w:t>
            </w:r>
          </w:p>
          <w:p w:rsidR="00C222E3" w:rsidRDefault="00C222E3" w:rsidP="00C222E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DA18C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DA18CE">
              <w:rPr>
                <w:sz w:val="24"/>
                <w:szCs w:val="24"/>
                <w:lang w:eastAsia="ru-RU"/>
              </w:rPr>
              <w:t>Постанови Кабінету Міністрів України від 28.03.2018 № 391 “Про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895AF2" w:rsidRPr="00C222E3" w:rsidRDefault="00C222E3" w:rsidP="00C222E3">
            <w:pPr>
              <w:tabs>
                <w:tab w:val="left" w:pos="180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4535">
              <w:rPr>
                <w:sz w:val="24"/>
                <w:szCs w:val="24"/>
                <w:lang w:eastAsia="ru-RU"/>
              </w:rPr>
              <w:t>-</w:t>
            </w:r>
            <w:r w:rsidRPr="00E64535">
              <w:rPr>
                <w:sz w:val="24"/>
                <w:szCs w:val="24"/>
                <w:lang w:eastAsia="ru-RU"/>
              </w:rPr>
              <w:tab/>
              <w:t>Постанови Кабінету Мін</w:t>
            </w:r>
            <w:r>
              <w:rPr>
                <w:sz w:val="24"/>
                <w:szCs w:val="24"/>
                <w:lang w:eastAsia="ru-RU"/>
              </w:rPr>
              <w:t>істрів України від 15.02.2021 № </w:t>
            </w:r>
            <w:r w:rsidRPr="00E64535">
              <w:rPr>
                <w:sz w:val="24"/>
                <w:szCs w:val="24"/>
                <w:lang w:eastAsia="ru-RU"/>
              </w:rPr>
              <w:t>133 “Деякі питання реалізації програми державних гарантій медичного обслуговування населен</w:t>
            </w:r>
            <w:r>
              <w:rPr>
                <w:sz w:val="24"/>
                <w:szCs w:val="24"/>
                <w:lang w:eastAsia="ru-RU"/>
              </w:rPr>
              <w:t>ня у II-IV кварталах 2021 року”</w:t>
            </w:r>
          </w:p>
        </w:tc>
      </w:tr>
      <w:tr w:rsidR="00DA18CE" w:rsidRPr="00ED5991" w:rsidTr="00597700">
        <w:trPr>
          <w:tblCellSpacing w:w="22" w:type="dxa"/>
        </w:trPr>
        <w:tc>
          <w:tcPr>
            <w:tcW w:w="157" w:type="pct"/>
          </w:tcPr>
          <w:p w:rsidR="00DA18CE" w:rsidRPr="00ED5991" w:rsidRDefault="00DA18CE" w:rsidP="00DA18CE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  <w:shd w:val="clear" w:color="auto" w:fill="auto"/>
          </w:tcPr>
          <w:p w:rsidR="00DA18CE" w:rsidRDefault="00DA18CE" w:rsidP="00D848AF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системи роботи з договорами</w:t>
            </w:r>
            <w:r w:rsidR="009C772D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про медичне обслуговування населення</w:t>
            </w:r>
          </w:p>
        </w:tc>
        <w:tc>
          <w:tcPr>
            <w:tcW w:w="3068" w:type="pct"/>
            <w:shd w:val="clear" w:color="auto" w:fill="auto"/>
          </w:tcPr>
          <w:p w:rsidR="00DA18CE" w:rsidRDefault="00DA18CE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Забезпечення здійснення підготовчої роботи </w:t>
            </w:r>
            <w:r>
              <w:rPr>
                <w:color w:val="000000"/>
                <w:sz w:val="24"/>
                <w:szCs w:val="24"/>
              </w:rPr>
              <w:t xml:space="preserve">для укладення, зміни та припинення договорів про медичне обслуговування населення щодо </w:t>
            </w:r>
            <w:r w:rsidRPr="00D57375">
              <w:rPr>
                <w:sz w:val="24"/>
                <w:szCs w:val="24"/>
              </w:rPr>
              <w:t xml:space="preserve">спеціалізованої, високоспеціалізованої </w:t>
            </w:r>
            <w:r>
              <w:rPr>
                <w:sz w:val="24"/>
                <w:szCs w:val="24"/>
              </w:rPr>
              <w:t>та екстреної медичної допомоги</w:t>
            </w:r>
          </w:p>
        </w:tc>
      </w:tr>
    </w:tbl>
    <w:p w:rsidR="00061DBA" w:rsidRPr="00ED5991" w:rsidRDefault="00061DBA" w:rsidP="00061DBA">
      <w:pPr>
        <w:spacing w:line="240" w:lineRule="auto"/>
      </w:pPr>
    </w:p>
    <w:p w:rsidR="00061DBA" w:rsidRPr="00401739" w:rsidRDefault="00061DBA" w:rsidP="00061DBA"/>
    <w:p w:rsidR="00061DBA" w:rsidRDefault="00061DBA" w:rsidP="00061DBA"/>
    <w:p w:rsidR="00061DBA" w:rsidRDefault="00061DBA" w:rsidP="00061DBA"/>
    <w:p w:rsidR="00061DBA" w:rsidRDefault="00061DBA" w:rsidP="00061DBA"/>
    <w:sectPr w:rsidR="00061DBA" w:rsidSect="006421C9">
      <w:pgSz w:w="11906" w:h="16838"/>
      <w:pgMar w:top="1134" w:right="426" w:bottom="67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A9B"/>
    <w:multiLevelType w:val="hybridMultilevel"/>
    <w:tmpl w:val="780245B0"/>
    <w:lvl w:ilvl="0" w:tplc="CF36F9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676A"/>
    <w:multiLevelType w:val="hybridMultilevel"/>
    <w:tmpl w:val="506A6D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F36F9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BA"/>
    <w:rsid w:val="00061DBA"/>
    <w:rsid w:val="00252801"/>
    <w:rsid w:val="0044050E"/>
    <w:rsid w:val="00597700"/>
    <w:rsid w:val="005D4CA2"/>
    <w:rsid w:val="005E3ED8"/>
    <w:rsid w:val="006017BF"/>
    <w:rsid w:val="006E52D8"/>
    <w:rsid w:val="007B0231"/>
    <w:rsid w:val="008110B0"/>
    <w:rsid w:val="0087370D"/>
    <w:rsid w:val="00895AF2"/>
    <w:rsid w:val="009C772D"/>
    <w:rsid w:val="00BD5580"/>
    <w:rsid w:val="00C222E3"/>
    <w:rsid w:val="00C673CA"/>
    <w:rsid w:val="00D848AF"/>
    <w:rsid w:val="00DA18CE"/>
    <w:rsid w:val="00E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E94B"/>
  <w15:chartTrackingRefBased/>
  <w15:docId w15:val="{D3FDEEAE-4F3F-4BA0-BBCB-D3511BA2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B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061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061DB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061DBA"/>
  </w:style>
  <w:style w:type="paragraph" w:customStyle="1" w:styleId="rvps14">
    <w:name w:val="rvps14"/>
    <w:basedOn w:val="a"/>
    <w:uiPriority w:val="99"/>
    <w:rsid w:val="00061DB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061DB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061DB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5644</Words>
  <Characters>3218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14</cp:revision>
  <cp:lastPrinted>2021-05-14T10:54:00Z</cp:lastPrinted>
  <dcterms:created xsi:type="dcterms:W3CDTF">2021-05-14T07:59:00Z</dcterms:created>
  <dcterms:modified xsi:type="dcterms:W3CDTF">2021-07-15T13:25:00Z</dcterms:modified>
</cp:coreProperties>
</file>