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061DBA" w:rsidRPr="00ED5991" w:rsidTr="00DC30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1DBA" w:rsidRPr="00B91378" w:rsidRDefault="00DA18CE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Додаток</w:t>
            </w:r>
            <w:r w:rsidR="008D512B">
              <w:rPr>
                <w:color w:val="000000"/>
                <w:sz w:val="24"/>
                <w:szCs w:val="24"/>
              </w:rPr>
              <w:t xml:space="preserve"> 9</w:t>
            </w:r>
          </w:p>
          <w:p w:rsidR="00061DBA" w:rsidRPr="00B91378" w:rsidRDefault="00061DBA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061DBA" w:rsidRPr="00B91378" w:rsidRDefault="00061DBA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061DBA" w:rsidRPr="00ED5991" w:rsidRDefault="00061DBA" w:rsidP="0020709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207090">
              <w:rPr>
                <w:color w:val="000000"/>
                <w:sz w:val="24"/>
                <w:szCs w:val="24"/>
              </w:rPr>
              <w:t>15.07</w:t>
            </w:r>
            <w:r w:rsidRPr="00D3154A">
              <w:rPr>
                <w:color w:val="000000"/>
                <w:sz w:val="24"/>
                <w:szCs w:val="24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207090">
              <w:rPr>
                <w:sz w:val="24"/>
                <w:szCs w:val="24"/>
              </w:rPr>
              <w:t>448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061DBA" w:rsidRPr="00ED5991" w:rsidRDefault="00061DBA" w:rsidP="00061DBA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061DBA" w:rsidRPr="00EC6E74" w:rsidRDefault="00061DBA" w:rsidP="00061DBA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061DBA" w:rsidRPr="00EC6E74" w:rsidRDefault="00061DBA" w:rsidP="00061DB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DA18CE" w:rsidRDefault="00AC6831" w:rsidP="00DA18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EB0EB5">
        <w:rPr>
          <w:rFonts w:ascii="Times New Roman" w:hAnsi="Times New Roman"/>
          <w:sz w:val="24"/>
          <w:szCs w:val="24"/>
        </w:rPr>
        <w:t>головного спеціаліста відділу супроводу баз даних та інтеграції програмного забезпечення управління розвитку та супроводу систем Департаменту інформаційних технологій</w:t>
      </w:r>
    </w:p>
    <w:p w:rsidR="00061DBA" w:rsidRPr="00616A81" w:rsidRDefault="00061DBA" w:rsidP="00061DBA">
      <w:pPr>
        <w:spacing w:line="240" w:lineRule="auto"/>
        <w:jc w:val="center"/>
        <w:outlineLvl w:val="2"/>
        <w:rPr>
          <w:rFonts w:cs="Times New Roman"/>
          <w:b/>
          <w:bCs/>
          <w:szCs w:val="28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492"/>
        <w:gridCol w:w="6328"/>
      </w:tblGrid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ED5991" w:rsidRDefault="00061DBA" w:rsidP="00DC30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862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74" w:type="pct"/>
            <w:shd w:val="clear" w:color="auto" w:fill="auto"/>
          </w:tcPr>
          <w:p w:rsidR="00D848AF" w:rsidRDefault="00AC6831" w:rsidP="00DA18CE">
            <w:pPr>
              <w:pStyle w:val="rvps1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hanging="180"/>
              <w:jc w:val="both"/>
              <w:rPr>
                <w:color w:val="000000"/>
                <w:lang w:eastAsia="ru-RU"/>
              </w:rPr>
            </w:pPr>
            <w:r w:rsidRPr="00B3638A">
              <w:rPr>
                <w:color w:val="000000"/>
              </w:rPr>
              <w:t>впровадження та використання кращих засобів керування базами даних, інтеграції та керування  системним ландшафтом з метою максимальної автоматизації всіх операцій, скорочення частки ручної праці та підвищення продуктивності праці;</w:t>
            </w:r>
          </w:p>
          <w:p w:rsidR="00AC6831" w:rsidRDefault="00AC6831" w:rsidP="00DA18CE">
            <w:pPr>
              <w:pStyle w:val="rvps1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hanging="180"/>
              <w:jc w:val="both"/>
              <w:rPr>
                <w:color w:val="000000"/>
                <w:lang w:eastAsia="ru-RU"/>
              </w:rPr>
            </w:pPr>
            <w:r w:rsidRPr="00B3638A">
              <w:rPr>
                <w:color w:val="000000"/>
              </w:rPr>
              <w:t>бере участь в діяльності НСЗУ з питань використання та експлуатації засобів керування базами даних, інтеграції та  керування системним ландшафтом бізнес-систем</w:t>
            </w:r>
            <w:r>
              <w:rPr>
                <w:color w:val="000000"/>
              </w:rPr>
              <w:t>;</w:t>
            </w:r>
          </w:p>
          <w:p w:rsidR="00AC6831" w:rsidRDefault="00AC6831" w:rsidP="00DA18CE">
            <w:pPr>
              <w:pStyle w:val="rvps1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hanging="180"/>
              <w:jc w:val="both"/>
              <w:rPr>
                <w:color w:val="000000"/>
                <w:lang w:eastAsia="ru-RU"/>
              </w:rPr>
            </w:pPr>
            <w:r w:rsidRPr="00B3638A">
              <w:t xml:space="preserve">здійснює технічний супровід експлуатації засобів керування базами даних, інтеграції та керування системним ландшафтом </w:t>
            </w:r>
            <w:r w:rsidRPr="00B3638A">
              <w:rPr>
                <w:color w:val="000000"/>
              </w:rPr>
              <w:t>бізнес-систем в НСЗУ</w:t>
            </w:r>
            <w:r>
              <w:rPr>
                <w:color w:val="000000"/>
              </w:rPr>
              <w:t>;</w:t>
            </w:r>
          </w:p>
          <w:p w:rsidR="00AC6831" w:rsidRDefault="00AC6831" w:rsidP="00DA18CE">
            <w:pPr>
              <w:pStyle w:val="rvps1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hanging="180"/>
              <w:jc w:val="both"/>
              <w:rPr>
                <w:color w:val="000000"/>
                <w:lang w:eastAsia="ru-RU"/>
              </w:rPr>
            </w:pPr>
            <w:r w:rsidRPr="00B3638A">
              <w:rPr>
                <w:color w:val="000000"/>
              </w:rPr>
              <w:t>розробляє, впроваджує та а</w:t>
            </w:r>
            <w:r w:rsidR="0056179E">
              <w:rPr>
                <w:color w:val="000000"/>
              </w:rPr>
              <w:t xml:space="preserve">дмініструє бази даних та </w:t>
            </w:r>
            <w:proofErr w:type="spellStart"/>
            <w:r w:rsidR="0056179E">
              <w:rPr>
                <w:color w:val="000000"/>
              </w:rPr>
              <w:t>peєстри</w:t>
            </w:r>
            <w:proofErr w:type="spellEnd"/>
            <w:r w:rsidRPr="00B3638A">
              <w:rPr>
                <w:color w:val="000000"/>
              </w:rPr>
              <w:t>, що знаходяться у розпорядженні НСЗУ;</w:t>
            </w:r>
          </w:p>
          <w:p w:rsidR="00AC6831" w:rsidRPr="00AC6831" w:rsidRDefault="0056179E" w:rsidP="00DA18CE">
            <w:pPr>
              <w:pStyle w:val="rvps1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hanging="180"/>
              <w:jc w:val="both"/>
              <w:rPr>
                <w:color w:val="000000"/>
                <w:lang w:eastAsia="ru-RU"/>
              </w:rPr>
            </w:pPr>
            <w:r>
              <w:t xml:space="preserve">здійснює заходи </w:t>
            </w:r>
            <w:r w:rsidR="00AC6831" w:rsidRPr="00B3638A">
              <w:t xml:space="preserve">з оптимізації функціонування баз даних, запобігання втрат і пошкоджень даних, управління </w:t>
            </w:r>
            <w:r>
              <w:t xml:space="preserve">розвитком баз даних та спільно </w:t>
            </w:r>
            <w:r w:rsidR="00AC6831" w:rsidRPr="00B3638A">
              <w:t xml:space="preserve">з відділом інформаційної безпеки та розподілу </w:t>
            </w:r>
            <w:proofErr w:type="spellStart"/>
            <w:r w:rsidR="00AC6831" w:rsidRPr="00B3638A">
              <w:t>доступів</w:t>
            </w:r>
            <w:proofErr w:type="spellEnd"/>
            <w:r w:rsidR="00AC6831" w:rsidRPr="00B3638A">
              <w:t xml:space="preserve"> здійснює забезпечення інформаційної безпеки на рівні баз даних;</w:t>
            </w:r>
          </w:p>
          <w:p w:rsidR="00AC6831" w:rsidRPr="00AC6831" w:rsidRDefault="00AC6831" w:rsidP="00DA18CE">
            <w:pPr>
              <w:pStyle w:val="rvps1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hanging="180"/>
              <w:jc w:val="both"/>
              <w:rPr>
                <w:color w:val="000000"/>
                <w:lang w:eastAsia="ru-RU"/>
              </w:rPr>
            </w:pPr>
            <w:r w:rsidRPr="00B3638A">
              <w:t xml:space="preserve">бере участь у впровадженні, налаштуванні та супроводі інтеграційної шини, забезпеченні максимальної доступності та продуктивності програмного комплексу; аналізі та </w:t>
            </w:r>
            <w:proofErr w:type="spellStart"/>
            <w:r w:rsidRPr="00B3638A">
              <w:t>усунененні</w:t>
            </w:r>
            <w:proofErr w:type="spellEnd"/>
            <w:r w:rsidRPr="00B3638A">
              <w:t xml:space="preserve"> збоїв, здійсненні оптимізації роботи бізнес-процесів;</w:t>
            </w:r>
          </w:p>
          <w:p w:rsidR="00AC6831" w:rsidRPr="003C2518" w:rsidRDefault="00AC6831" w:rsidP="00DA18CE">
            <w:pPr>
              <w:pStyle w:val="rvps1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hanging="180"/>
              <w:jc w:val="both"/>
              <w:rPr>
                <w:color w:val="000000"/>
                <w:lang w:eastAsia="ru-RU"/>
              </w:rPr>
            </w:pPr>
            <w:r w:rsidRPr="00B3638A">
              <w:t xml:space="preserve">здійснює аналіз </w:t>
            </w:r>
            <w:r w:rsidRPr="00897F4E">
              <w:rPr>
                <w:color w:val="000000"/>
              </w:rPr>
              <w:t xml:space="preserve">кращого </w:t>
            </w:r>
            <w:r w:rsidRPr="00B3638A">
              <w:rPr>
                <w:color w:val="000000"/>
              </w:rPr>
              <w:t xml:space="preserve">досвіду </w:t>
            </w:r>
            <w:r w:rsidRPr="00897F4E">
              <w:rPr>
                <w:color w:val="000000"/>
              </w:rPr>
              <w:t xml:space="preserve">стосовно впровадження </w:t>
            </w:r>
            <w:r w:rsidRPr="00B3638A">
              <w:rPr>
                <w:color w:val="000000"/>
              </w:rPr>
              <w:t>засобів керування базами даних, інтеграції та керування системним ландшафтом бізнес-систем (з використанням іноземних джерел інформації, в тому числі статистичних баз даних, що знаходяться у відкритому доступі)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862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74" w:type="pct"/>
          </w:tcPr>
          <w:p w:rsidR="00061DBA" w:rsidRPr="00D91231" w:rsidRDefault="00061DBA" w:rsidP="00DC3034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061DBA" w:rsidRDefault="00061DBA" w:rsidP="00DC3034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061DBA" w:rsidRPr="00FD11AB" w:rsidRDefault="00061DBA" w:rsidP="00DC3034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862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74" w:type="pct"/>
          </w:tcPr>
          <w:p w:rsidR="00061DBA" w:rsidRDefault="00061DBA" w:rsidP="00DC3034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061DBA" w:rsidRDefault="00061DBA" w:rsidP="00DC3034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061DBA" w:rsidRPr="00ED5991" w:rsidRDefault="00061DBA" w:rsidP="00DC303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862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74" w:type="pct"/>
          </w:tcPr>
          <w:p w:rsidR="00061DBA" w:rsidRPr="00416ED7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61DBA" w:rsidRPr="00416ED7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61DBA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61DBA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DBA" w:rsidRPr="00416ED7" w:rsidRDefault="00061DBA" w:rsidP="00DC3034">
            <w:pPr>
              <w:spacing w:line="240" w:lineRule="auto"/>
              <w:ind w:firstLine="284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16ED7">
              <w:rPr>
                <w:sz w:val="24"/>
                <w:szCs w:val="24"/>
              </w:rPr>
              <w:t>Особа, яка бажає взяти участь у конкурсі, може подат</w:t>
            </w:r>
            <w:r>
              <w:rPr>
                <w:sz w:val="24"/>
                <w:szCs w:val="24"/>
              </w:rPr>
              <w:t xml:space="preserve">и конкурсній комісії інформацію </w:t>
            </w:r>
            <w:r w:rsidRPr="00416ED7">
              <w:rPr>
                <w:sz w:val="24"/>
                <w:szCs w:val="24"/>
              </w:rPr>
              <w:t xml:space="preserve">через Єдиний портал вакансій державної служби за посиланням </w:t>
            </w:r>
            <w:hyperlink r:id="rId5" w:history="1">
              <w:r w:rsidRPr="000A6E98">
                <w:rPr>
                  <w:rStyle w:val="a3"/>
                  <w:rFonts w:eastAsiaTheme="majorEastAsia"/>
                  <w:color w:val="000000"/>
                  <w:sz w:val="24"/>
                  <w:szCs w:val="24"/>
                </w:rPr>
                <w:t>https://career.gov.ua/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  <w:p w:rsidR="00061DBA" w:rsidRPr="00416ED7" w:rsidRDefault="00061DBA" w:rsidP="00DC3034">
            <w:pPr>
              <w:spacing w:line="240" w:lineRule="auto"/>
              <w:jc w:val="both"/>
              <w:textAlignment w:val="baseline"/>
              <w:rPr>
                <w:spacing w:val="-6"/>
                <w:sz w:val="24"/>
                <w:szCs w:val="24"/>
              </w:rPr>
            </w:pPr>
          </w:p>
          <w:p w:rsidR="00061DBA" w:rsidRPr="00ED5991" w:rsidRDefault="00061DBA" w:rsidP="0056179E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A5770C">
              <w:rPr>
                <w:sz w:val="24"/>
                <w:szCs w:val="24"/>
              </w:rPr>
              <w:t xml:space="preserve">Інформація </w:t>
            </w:r>
            <w:r w:rsidRPr="00EC35F0">
              <w:rPr>
                <w:sz w:val="24"/>
                <w:szCs w:val="24"/>
              </w:rPr>
              <w:t>приймається до 1</w:t>
            </w:r>
            <w:r>
              <w:rPr>
                <w:sz w:val="24"/>
                <w:szCs w:val="24"/>
              </w:rPr>
              <w:t>7</w:t>
            </w:r>
            <w:r w:rsidRPr="00EC35F0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00</w:t>
            </w:r>
            <w:r w:rsidR="0056179E">
              <w:rPr>
                <w:sz w:val="24"/>
                <w:szCs w:val="24"/>
              </w:rPr>
              <w:t xml:space="preserve"> хв 10</w:t>
            </w:r>
            <w:r w:rsidRPr="00EC35F0">
              <w:rPr>
                <w:sz w:val="24"/>
                <w:szCs w:val="24"/>
              </w:rPr>
              <w:t xml:space="preserve"> </w:t>
            </w:r>
            <w:r w:rsidR="009C772D">
              <w:rPr>
                <w:sz w:val="24"/>
                <w:szCs w:val="24"/>
              </w:rPr>
              <w:t>серпня</w:t>
            </w:r>
            <w:r w:rsidRPr="00EC35F0">
              <w:rPr>
                <w:sz w:val="24"/>
                <w:szCs w:val="24"/>
              </w:rPr>
              <w:t xml:space="preserve"> 2021 року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862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3074" w:type="pct"/>
          </w:tcPr>
          <w:p w:rsidR="00061DBA" w:rsidRPr="00ED5991" w:rsidRDefault="00061DBA" w:rsidP="00DC303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862" w:type="pct"/>
            <w:gridSpan w:val="2"/>
          </w:tcPr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74" w:type="pct"/>
          </w:tcPr>
          <w:p w:rsidR="00061DBA" w:rsidRPr="00D3154A" w:rsidRDefault="0056179E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8D512B">
              <w:rPr>
                <w:sz w:val="24"/>
                <w:szCs w:val="24"/>
              </w:rPr>
              <w:t xml:space="preserve"> серпня</w:t>
            </w:r>
            <w:r w:rsidR="00061DBA" w:rsidRPr="00D3154A">
              <w:rPr>
                <w:sz w:val="24"/>
                <w:szCs w:val="24"/>
              </w:rPr>
              <w:t xml:space="preserve"> 2021 року о 10 год 00 хв.</w:t>
            </w:r>
          </w:p>
          <w:p w:rsidR="00061DBA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 w:rsidR="00D848AF"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061DBA" w:rsidRPr="00D3154A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61DBA" w:rsidRPr="00D3154A" w:rsidRDefault="00061DBA" w:rsidP="00DA18CE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061DBA" w:rsidRDefault="00061DBA" w:rsidP="00DC3034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6179E" w:rsidRDefault="0056179E" w:rsidP="00DC3034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56179E" w:rsidRDefault="0056179E" w:rsidP="00DC3034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61DBA" w:rsidRPr="00D3154A" w:rsidRDefault="00061DBA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061DBA" w:rsidRPr="00D3154A" w:rsidRDefault="00061DBA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061DBA" w:rsidRPr="00D3154A" w:rsidRDefault="00061DBA" w:rsidP="00DC3034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862" w:type="pct"/>
            <w:gridSpan w:val="2"/>
          </w:tcPr>
          <w:p w:rsidR="00061DBA" w:rsidRPr="00ED5991" w:rsidRDefault="00061DBA" w:rsidP="00BD5580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74" w:type="pct"/>
          </w:tcPr>
          <w:p w:rsidR="009C772D" w:rsidRPr="00DA0AC7" w:rsidRDefault="009C772D" w:rsidP="009C772D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A0AC7">
              <w:rPr>
                <w:sz w:val="24"/>
                <w:szCs w:val="24"/>
                <w:lang w:eastAsia="ru-RU"/>
              </w:rPr>
              <w:t xml:space="preserve">Федько Наталія Миколаївна, </w:t>
            </w:r>
            <w:proofErr w:type="spellStart"/>
            <w:r w:rsidRPr="00DA0AC7">
              <w:rPr>
                <w:sz w:val="24"/>
                <w:szCs w:val="24"/>
                <w:lang w:eastAsia="ru-RU"/>
              </w:rPr>
              <w:t>тел</w:t>
            </w:r>
            <w:proofErr w:type="spellEnd"/>
            <w:r w:rsidRPr="00DA0AC7">
              <w:rPr>
                <w:sz w:val="24"/>
                <w:szCs w:val="24"/>
                <w:lang w:eastAsia="ru-RU"/>
              </w:rPr>
              <w:t xml:space="preserve">. (044) 290-01-18, </w:t>
            </w:r>
          </w:p>
          <w:p w:rsidR="00061DBA" w:rsidRPr="00ED5991" w:rsidRDefault="009C772D" w:rsidP="009C772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nataliia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</w:rPr>
              <w:t>fedko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@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nszu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DA0AC7" w:rsidRDefault="00061DBA" w:rsidP="00DC3034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3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74" w:type="pct"/>
          </w:tcPr>
          <w:p w:rsidR="00061DBA" w:rsidRPr="00DA0AC7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3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74" w:type="pct"/>
          </w:tcPr>
          <w:p w:rsidR="00061DBA" w:rsidRPr="00DA0AC7" w:rsidRDefault="00061DBA" w:rsidP="00DC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3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74" w:type="pct"/>
          </w:tcPr>
          <w:p w:rsidR="00061DBA" w:rsidRDefault="00061DBA" w:rsidP="00DC3034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7B0231" w:rsidRPr="00DA0AC7" w:rsidRDefault="007B0231" w:rsidP="00DC303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61DBA" w:rsidRPr="00ED5991" w:rsidTr="00DA18CE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3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74" w:type="pct"/>
          </w:tcPr>
          <w:p w:rsidR="00061DBA" w:rsidRDefault="00061DBA" w:rsidP="00DC30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  <w:p w:rsidR="007B0231" w:rsidRPr="00DA0AC7" w:rsidRDefault="007B0231" w:rsidP="00DC3034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061DBA" w:rsidRPr="007A6CCE" w:rsidRDefault="00061DBA" w:rsidP="00DC3034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862" w:type="pct"/>
            <w:gridSpan w:val="2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74" w:type="pct"/>
          </w:tcPr>
          <w:p w:rsidR="00061DBA" w:rsidRPr="007A6CCE" w:rsidRDefault="00061DBA" w:rsidP="00DC303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061DBA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7A6CCE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862" w:type="pct"/>
            <w:gridSpan w:val="2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74" w:type="pct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DBA" w:rsidRPr="00ED5991" w:rsidTr="00DA18CE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3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74" w:type="pct"/>
          </w:tcPr>
          <w:p w:rsidR="00061DBA" w:rsidRPr="00E42A3F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061DBA" w:rsidRPr="00ED3784" w:rsidRDefault="00061DBA" w:rsidP="00DC3034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061DBA" w:rsidRPr="00ED5991" w:rsidTr="00AC6831">
        <w:trPr>
          <w:trHeight w:val="5073"/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3" w:type="pct"/>
            <w:shd w:val="clear" w:color="auto" w:fill="auto"/>
          </w:tcPr>
          <w:p w:rsidR="00061DBA" w:rsidRPr="00ED5991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74" w:type="pct"/>
            <w:shd w:val="clear" w:color="auto" w:fill="auto"/>
          </w:tcPr>
          <w:p w:rsidR="00AC6831" w:rsidRPr="00AC6831" w:rsidRDefault="00AC6831" w:rsidP="00AC683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AC6831">
              <w:rPr>
                <w:sz w:val="24"/>
                <w:szCs w:val="24"/>
                <w:lang w:eastAsia="ru-RU"/>
              </w:rPr>
              <w:t>Знання:</w:t>
            </w:r>
          </w:p>
          <w:p w:rsidR="00AC6831" w:rsidRPr="00AC6831" w:rsidRDefault="00AC6831" w:rsidP="00AC6831">
            <w:pPr>
              <w:tabs>
                <w:tab w:val="left" w:pos="168"/>
              </w:tabs>
              <w:spacing w:line="240" w:lineRule="auto"/>
              <w:ind w:left="148" w:hanging="148"/>
              <w:jc w:val="both"/>
              <w:rPr>
                <w:sz w:val="24"/>
                <w:szCs w:val="24"/>
                <w:lang w:eastAsia="ru-RU"/>
              </w:rPr>
            </w:pPr>
            <w:r w:rsidRPr="00AC6831">
              <w:rPr>
                <w:sz w:val="24"/>
                <w:szCs w:val="24"/>
                <w:lang w:eastAsia="ru-RU"/>
              </w:rPr>
              <w:t>-</w:t>
            </w:r>
            <w:r w:rsidRPr="00AC6831">
              <w:rPr>
                <w:sz w:val="24"/>
                <w:szCs w:val="24"/>
                <w:lang w:eastAsia="ru-RU"/>
              </w:rPr>
              <w:tab/>
              <w:t xml:space="preserve">Закону України “Про основні засади забезпечення </w:t>
            </w:r>
            <w:proofErr w:type="spellStart"/>
            <w:r w:rsidRPr="00AC6831">
              <w:rPr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AC6831">
              <w:rPr>
                <w:sz w:val="24"/>
                <w:szCs w:val="24"/>
                <w:lang w:eastAsia="ru-RU"/>
              </w:rPr>
              <w:t xml:space="preserve"> України”;</w:t>
            </w:r>
          </w:p>
          <w:p w:rsidR="00AC6831" w:rsidRPr="00AC6831" w:rsidRDefault="00AC6831" w:rsidP="00AC6831">
            <w:pPr>
              <w:tabs>
                <w:tab w:val="left" w:pos="168"/>
              </w:tabs>
              <w:spacing w:line="240" w:lineRule="auto"/>
              <w:ind w:left="148" w:hanging="148"/>
              <w:jc w:val="both"/>
              <w:rPr>
                <w:sz w:val="24"/>
                <w:szCs w:val="24"/>
                <w:lang w:eastAsia="ru-RU"/>
              </w:rPr>
            </w:pPr>
            <w:r w:rsidRPr="00AC6831">
              <w:rPr>
                <w:sz w:val="24"/>
                <w:szCs w:val="24"/>
                <w:lang w:eastAsia="ru-RU"/>
              </w:rPr>
              <w:t>-</w:t>
            </w:r>
            <w:r w:rsidRPr="00AC6831">
              <w:rPr>
                <w:sz w:val="24"/>
                <w:szCs w:val="24"/>
                <w:lang w:eastAsia="ru-RU"/>
              </w:rPr>
              <w:tab/>
              <w:t>Закону України “Про електронні документи та електронний документообіг”;</w:t>
            </w:r>
          </w:p>
          <w:p w:rsidR="00AC6831" w:rsidRPr="00AC6831" w:rsidRDefault="00AC6831" w:rsidP="00AC6831">
            <w:pPr>
              <w:tabs>
                <w:tab w:val="left" w:pos="168"/>
              </w:tabs>
              <w:spacing w:line="240" w:lineRule="auto"/>
              <w:ind w:left="148" w:hanging="148"/>
              <w:jc w:val="both"/>
              <w:rPr>
                <w:sz w:val="24"/>
                <w:szCs w:val="24"/>
                <w:lang w:eastAsia="ru-RU"/>
              </w:rPr>
            </w:pPr>
            <w:r w:rsidRPr="00AC6831">
              <w:rPr>
                <w:sz w:val="24"/>
                <w:szCs w:val="24"/>
                <w:lang w:eastAsia="ru-RU"/>
              </w:rPr>
              <w:t>-</w:t>
            </w:r>
            <w:r w:rsidRPr="00AC6831">
              <w:rPr>
                <w:sz w:val="24"/>
                <w:szCs w:val="24"/>
                <w:lang w:eastAsia="ru-RU"/>
              </w:rPr>
              <w:tab/>
              <w:t>Закону України “Про Національну програму інформатизації”;</w:t>
            </w:r>
          </w:p>
          <w:p w:rsidR="00AC6831" w:rsidRPr="00AC6831" w:rsidRDefault="00AC6831" w:rsidP="00AC6831">
            <w:pPr>
              <w:tabs>
                <w:tab w:val="left" w:pos="168"/>
              </w:tabs>
              <w:spacing w:line="240" w:lineRule="auto"/>
              <w:ind w:left="148" w:hanging="148"/>
              <w:jc w:val="both"/>
              <w:rPr>
                <w:sz w:val="24"/>
                <w:szCs w:val="24"/>
                <w:lang w:eastAsia="ru-RU"/>
              </w:rPr>
            </w:pPr>
            <w:r w:rsidRPr="00AC6831">
              <w:rPr>
                <w:sz w:val="24"/>
                <w:szCs w:val="24"/>
                <w:lang w:eastAsia="ru-RU"/>
              </w:rPr>
              <w:t>-</w:t>
            </w:r>
            <w:r w:rsidRPr="00AC6831">
              <w:rPr>
                <w:sz w:val="24"/>
                <w:szCs w:val="24"/>
                <w:lang w:eastAsia="ru-RU"/>
              </w:rPr>
              <w:tab/>
              <w:t>Закону України “Про  інформацію”;</w:t>
            </w:r>
          </w:p>
          <w:p w:rsidR="00AC6831" w:rsidRPr="00AC6831" w:rsidRDefault="00AC6831" w:rsidP="00AC6831">
            <w:pPr>
              <w:tabs>
                <w:tab w:val="left" w:pos="168"/>
              </w:tabs>
              <w:spacing w:line="240" w:lineRule="auto"/>
              <w:ind w:left="148" w:hanging="148"/>
              <w:jc w:val="both"/>
              <w:rPr>
                <w:sz w:val="24"/>
                <w:szCs w:val="24"/>
                <w:lang w:eastAsia="ru-RU"/>
              </w:rPr>
            </w:pPr>
            <w:r w:rsidRPr="00AC6831">
              <w:rPr>
                <w:sz w:val="24"/>
                <w:szCs w:val="24"/>
                <w:lang w:eastAsia="ru-RU"/>
              </w:rPr>
              <w:t>-</w:t>
            </w:r>
            <w:r w:rsidRPr="00AC6831">
              <w:rPr>
                <w:sz w:val="24"/>
                <w:szCs w:val="24"/>
                <w:lang w:eastAsia="ru-RU"/>
              </w:rPr>
              <w:tab/>
              <w:t>Закону України “Про захист інформації в інформаційно-телекомунікаційних системах”;</w:t>
            </w:r>
          </w:p>
          <w:p w:rsidR="00AC6831" w:rsidRPr="00AC6831" w:rsidRDefault="00AC6831" w:rsidP="00AC6831">
            <w:pPr>
              <w:tabs>
                <w:tab w:val="left" w:pos="168"/>
              </w:tabs>
              <w:spacing w:line="240" w:lineRule="auto"/>
              <w:ind w:left="148" w:hanging="148"/>
              <w:jc w:val="both"/>
              <w:rPr>
                <w:sz w:val="24"/>
                <w:szCs w:val="24"/>
                <w:lang w:eastAsia="ru-RU"/>
              </w:rPr>
            </w:pPr>
            <w:r w:rsidRPr="00AC6831">
              <w:rPr>
                <w:sz w:val="24"/>
                <w:szCs w:val="24"/>
                <w:lang w:eastAsia="ru-RU"/>
              </w:rPr>
              <w:t>-</w:t>
            </w:r>
            <w:r w:rsidRPr="00AC6831">
              <w:rPr>
                <w:sz w:val="24"/>
                <w:szCs w:val="24"/>
                <w:lang w:eastAsia="ru-RU"/>
              </w:rPr>
              <w:tab/>
              <w:t>Закону України “Про телекомунікації”;</w:t>
            </w:r>
          </w:p>
          <w:p w:rsidR="00AC6831" w:rsidRPr="00AC6831" w:rsidRDefault="00AC6831" w:rsidP="00AC6831">
            <w:pPr>
              <w:tabs>
                <w:tab w:val="left" w:pos="168"/>
              </w:tabs>
              <w:spacing w:line="240" w:lineRule="auto"/>
              <w:ind w:left="148" w:hanging="148"/>
              <w:jc w:val="both"/>
              <w:rPr>
                <w:sz w:val="24"/>
                <w:szCs w:val="24"/>
                <w:lang w:eastAsia="ru-RU"/>
              </w:rPr>
            </w:pPr>
            <w:r w:rsidRPr="00AC6831">
              <w:rPr>
                <w:sz w:val="24"/>
                <w:szCs w:val="24"/>
                <w:lang w:eastAsia="ru-RU"/>
              </w:rPr>
              <w:t>-</w:t>
            </w:r>
            <w:r w:rsidRPr="00AC6831">
              <w:rPr>
                <w:sz w:val="24"/>
                <w:szCs w:val="24"/>
                <w:lang w:eastAsia="ru-RU"/>
              </w:rPr>
              <w:tab/>
              <w:t>Положення про Національну службу здоров’я України, затверджен</w:t>
            </w:r>
            <w:r w:rsidR="0056179E">
              <w:rPr>
                <w:sz w:val="24"/>
                <w:szCs w:val="24"/>
                <w:lang w:eastAsia="ru-RU"/>
              </w:rPr>
              <w:t>ого</w:t>
            </w:r>
            <w:r w:rsidRPr="00AC6831">
              <w:rPr>
                <w:sz w:val="24"/>
                <w:szCs w:val="24"/>
                <w:lang w:eastAsia="ru-RU"/>
              </w:rPr>
              <w:t xml:space="preserve"> постановою Кабінету Міністрів України                     від 27.12.2017 № 1101;</w:t>
            </w:r>
          </w:p>
          <w:p w:rsidR="00895AF2" w:rsidRPr="00C222E3" w:rsidRDefault="00AC6831" w:rsidP="00AC6831">
            <w:pPr>
              <w:tabs>
                <w:tab w:val="left" w:pos="180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C6831">
              <w:rPr>
                <w:sz w:val="24"/>
                <w:szCs w:val="24"/>
                <w:lang w:eastAsia="ru-RU"/>
              </w:rPr>
              <w:t>-</w:t>
            </w:r>
            <w:r w:rsidRPr="00AC6831">
              <w:rPr>
                <w:sz w:val="24"/>
                <w:szCs w:val="24"/>
                <w:lang w:eastAsia="ru-RU"/>
              </w:rPr>
              <w:tab/>
              <w:t>Правил забезпечення захисту інформації в інформаційних, телекомунікаційних та інформаційно-телекомунікаційних системах, затверджених постановою Кабінету Міністрів України від 29.03.2006 № 373</w:t>
            </w:r>
          </w:p>
        </w:tc>
      </w:tr>
      <w:tr w:rsidR="00DA18CE" w:rsidRPr="00ED5991" w:rsidTr="00DA18CE">
        <w:trPr>
          <w:tblCellSpacing w:w="22" w:type="dxa"/>
        </w:trPr>
        <w:tc>
          <w:tcPr>
            <w:tcW w:w="157" w:type="pct"/>
          </w:tcPr>
          <w:p w:rsidR="00DA18CE" w:rsidRPr="00ED5991" w:rsidRDefault="00DA18CE" w:rsidP="00DA18CE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3" w:type="pct"/>
            <w:shd w:val="clear" w:color="auto" w:fill="auto"/>
          </w:tcPr>
          <w:p w:rsidR="00DA18CE" w:rsidRDefault="00AC6831" w:rsidP="00D848AF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69B5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</w:t>
            </w:r>
            <w:r w:rsidRPr="007E4C21">
              <w:rPr>
                <w:sz w:val="24"/>
                <w:szCs w:val="24"/>
              </w:rPr>
              <w:t>реалізації державної політики цифрового розвитку відповідно до засад її реалізації органами виконавчої влади</w:t>
            </w:r>
          </w:p>
        </w:tc>
        <w:tc>
          <w:tcPr>
            <w:tcW w:w="3074" w:type="pct"/>
            <w:shd w:val="clear" w:color="auto" w:fill="auto"/>
          </w:tcPr>
          <w:p w:rsidR="00DA18CE" w:rsidRDefault="00AC6831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E4C21">
              <w:rPr>
                <w:sz w:val="24"/>
                <w:szCs w:val="24"/>
                <w:lang w:eastAsia="ru-RU"/>
              </w:rPr>
              <w:t>Забезпечення керування базами даних, інтеграції та керування системним ландшафтом бізнес-систем, впровадження, експлуатація, адміністрування архітектурних і програмних рішень, а також забезп</w:t>
            </w:r>
            <w:r>
              <w:rPr>
                <w:sz w:val="24"/>
                <w:szCs w:val="24"/>
                <w:lang w:eastAsia="ru-RU"/>
              </w:rPr>
              <w:t>ечення їх безперебійної роботи.</w:t>
            </w:r>
          </w:p>
          <w:p w:rsidR="00FD1614" w:rsidRDefault="00FD1614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AC6831" w:rsidRPr="00FD1614" w:rsidRDefault="00AC6831" w:rsidP="00FD161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>В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певнений</w:t>
            </w:r>
            <w:r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користувач</w:t>
            </w:r>
            <w:r w:rsidR="0056179E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ПК: Microsoft Office. </w:t>
            </w:r>
          </w:p>
          <w:p w:rsidR="00AC6831" w:rsidRPr="00FD1614" w:rsidRDefault="00AC6831" w:rsidP="00FD161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Знання</w:t>
            </w:r>
            <w:r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мов</w:t>
            </w:r>
            <w:r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програмування SQL. </w:t>
            </w:r>
          </w:p>
          <w:p w:rsidR="00AC6831" w:rsidRPr="00FD1614" w:rsidRDefault="00AC6831" w:rsidP="00FD161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Володіння</w:t>
            </w:r>
            <w:r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інструментами</w:t>
            </w:r>
            <w:r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роботи</w:t>
            </w:r>
            <w:r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із</w:t>
            </w:r>
            <w:r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БД: </w:t>
            </w:r>
            <w:proofErr w:type="spellStart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DBviewer</w:t>
            </w:r>
            <w:proofErr w:type="spellEnd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,  </w:t>
            </w:r>
            <w:proofErr w:type="spellStart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Dbvisualizer</w:t>
            </w:r>
            <w:proofErr w:type="spellEnd"/>
            <w:r w:rsid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FD1614" w:rsidRPr="00FD1614" w:rsidRDefault="00AC6831" w:rsidP="00FD161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Володіння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функціоналом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ПЗ: </w:t>
            </w:r>
            <w:proofErr w:type="spellStart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Git</w:t>
            </w:r>
            <w:proofErr w:type="spellEnd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, Microsoft SQL Server, </w:t>
            </w:r>
            <w:proofErr w:type="spellStart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Apache</w:t>
            </w:r>
            <w:proofErr w:type="spellEnd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Jira</w:t>
            </w:r>
            <w:proofErr w:type="spellEnd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Confluence</w:t>
            </w:r>
            <w:proofErr w:type="spellEnd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Google</w:t>
            </w:r>
            <w:proofErr w:type="spellEnd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Data</w:t>
            </w:r>
            <w:proofErr w:type="spellEnd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Studio</w:t>
            </w:r>
            <w:proofErr w:type="spellEnd"/>
            <w:r w:rsid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FD1614" w:rsidRPr="00FD1614" w:rsidRDefault="00AC6831" w:rsidP="00FD161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lastRenderedPageBreak/>
              <w:t>Впевнені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знання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БД </w:t>
            </w:r>
            <w:proofErr w:type="spellStart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PostreSQL</w:t>
            </w:r>
            <w:proofErr w:type="spellEnd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, MSSQL, </w:t>
            </w:r>
            <w:proofErr w:type="spellStart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Mongo</w:t>
            </w:r>
            <w:proofErr w:type="spellEnd"/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та</w:t>
            </w:r>
            <w:r w:rsidR="00690A4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інших</w:t>
            </w:r>
            <w:r w:rsidR="00690A4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SQL</w:t>
            </w:r>
            <w:r w:rsid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FD1614" w:rsidRDefault="00AC6831" w:rsidP="00FD161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Знання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методів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інструментів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інтеграції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баз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даних,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принципів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налаштування ETL</w:t>
            </w:r>
            <w:r w:rsid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AC6831" w:rsidRPr="00AC6831" w:rsidRDefault="00AC6831" w:rsidP="00FD161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uk-UA"/>
              </w:rPr>
            </w:pP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Знання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клієнт</w:t>
            </w:r>
            <w:r w:rsidR="0056179E">
              <w:rPr>
                <w:rFonts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серверно</w:t>
            </w:r>
            <w:r w:rsidR="0056179E">
              <w:rPr>
                <w:rFonts w:cs="Times New Roman"/>
                <w:color w:val="000000"/>
                <w:sz w:val="24"/>
                <w:szCs w:val="24"/>
                <w:lang w:eastAsia="uk-UA"/>
              </w:rPr>
              <w:t>ї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архітектури,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TCP/IP-мережі,</w:t>
            </w:r>
            <w:r w:rsidR="00FD1614" w:rsidRPr="00FD1614">
              <w:rPr>
                <w:rFonts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C6831">
              <w:rPr>
                <w:rFonts w:cs="Times New Roman"/>
                <w:color w:val="000000"/>
                <w:sz w:val="24"/>
                <w:szCs w:val="24"/>
                <w:lang w:eastAsia="uk-UA"/>
              </w:rPr>
              <w:t>розуміння HTTP/HTTPS протоколів, DNS,VPN</w:t>
            </w:r>
          </w:p>
          <w:p w:rsidR="00AC6831" w:rsidRDefault="00AC6831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61DBA" w:rsidRPr="00ED5991" w:rsidRDefault="00061DBA" w:rsidP="00061DBA">
      <w:pPr>
        <w:spacing w:line="240" w:lineRule="auto"/>
      </w:pPr>
    </w:p>
    <w:p w:rsidR="00061DBA" w:rsidRPr="00401739" w:rsidRDefault="00061DBA" w:rsidP="00061DBA"/>
    <w:p w:rsidR="00061DBA" w:rsidRDefault="00061DBA" w:rsidP="00061DBA"/>
    <w:p w:rsidR="00061DBA" w:rsidRDefault="00061DBA" w:rsidP="00061DBA"/>
    <w:p w:rsidR="00061DBA" w:rsidRDefault="00061DBA" w:rsidP="00061DBA"/>
    <w:sectPr w:rsidR="00061DBA" w:rsidSect="006421C9">
      <w:pgSz w:w="11906" w:h="16838"/>
      <w:pgMar w:top="1134" w:right="426" w:bottom="67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A9B"/>
    <w:multiLevelType w:val="hybridMultilevel"/>
    <w:tmpl w:val="780245B0"/>
    <w:lvl w:ilvl="0" w:tplc="CF36F9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676A"/>
    <w:multiLevelType w:val="hybridMultilevel"/>
    <w:tmpl w:val="506A6D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F36F9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BA"/>
    <w:rsid w:val="00061DBA"/>
    <w:rsid w:val="00207090"/>
    <w:rsid w:val="0056179E"/>
    <w:rsid w:val="005D4CA2"/>
    <w:rsid w:val="005E3ED8"/>
    <w:rsid w:val="006017BF"/>
    <w:rsid w:val="00690A41"/>
    <w:rsid w:val="006E52D8"/>
    <w:rsid w:val="007B0231"/>
    <w:rsid w:val="008110B0"/>
    <w:rsid w:val="00895AF2"/>
    <w:rsid w:val="008D512B"/>
    <w:rsid w:val="009C772D"/>
    <w:rsid w:val="00AC6831"/>
    <w:rsid w:val="00BD5580"/>
    <w:rsid w:val="00C222E3"/>
    <w:rsid w:val="00C673CA"/>
    <w:rsid w:val="00D848AF"/>
    <w:rsid w:val="00DA18CE"/>
    <w:rsid w:val="00E30A5A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E769"/>
  <w15:chartTrackingRefBased/>
  <w15:docId w15:val="{D3FDEEAE-4F3F-4BA0-BBCB-D3511BA2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BA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061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061DBA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061DBA"/>
  </w:style>
  <w:style w:type="paragraph" w:customStyle="1" w:styleId="rvps14">
    <w:name w:val="rvps14"/>
    <w:basedOn w:val="a"/>
    <w:uiPriority w:val="99"/>
    <w:rsid w:val="00061DB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061DBA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061DBA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5961</Words>
  <Characters>3399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14</cp:revision>
  <cp:lastPrinted>2021-05-14T10:54:00Z</cp:lastPrinted>
  <dcterms:created xsi:type="dcterms:W3CDTF">2021-05-14T07:59:00Z</dcterms:created>
  <dcterms:modified xsi:type="dcterms:W3CDTF">2021-07-15T13:36:00Z</dcterms:modified>
</cp:coreProperties>
</file>