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9F" w:rsidRPr="0007162C" w:rsidRDefault="00B3279F" w:rsidP="00B3279F"/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B3279F" w:rsidRPr="00ED5991" w:rsidTr="00647A8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279F" w:rsidRPr="008D2996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314378">
              <w:rPr>
                <w:color w:val="000000"/>
                <w:sz w:val="24"/>
                <w:szCs w:val="24"/>
              </w:rPr>
              <w:t>2</w:t>
            </w:r>
          </w:p>
          <w:p w:rsidR="00B3279F" w:rsidRPr="00D3154A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B3279F" w:rsidRPr="00D3154A" w:rsidRDefault="00B3279F" w:rsidP="00647A8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B3279F" w:rsidRPr="00ED5991" w:rsidRDefault="00B3279F" w:rsidP="00471A3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 xml:space="preserve">від </w:t>
            </w:r>
            <w:r w:rsidR="00471A3A">
              <w:rPr>
                <w:color w:val="000000"/>
                <w:sz w:val="24"/>
                <w:szCs w:val="24"/>
                <w:lang w:val="ru-RU"/>
              </w:rPr>
              <w:t>19</w:t>
            </w:r>
            <w:r w:rsidR="00DF68CA">
              <w:rPr>
                <w:color w:val="000000"/>
                <w:sz w:val="24"/>
                <w:szCs w:val="24"/>
              </w:rPr>
              <w:t>.</w:t>
            </w:r>
            <w:r w:rsidR="00471A3A">
              <w:rPr>
                <w:color w:val="000000"/>
                <w:sz w:val="24"/>
                <w:szCs w:val="24"/>
                <w:lang w:val="ru-RU"/>
              </w:rPr>
              <w:t>10</w:t>
            </w:r>
            <w:r w:rsidR="0007162C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>№</w:t>
            </w:r>
            <w:r w:rsidR="00471A3A">
              <w:rPr>
                <w:sz w:val="24"/>
                <w:szCs w:val="24"/>
                <w:lang w:val="ru-RU"/>
              </w:rPr>
              <w:t xml:space="preserve"> 663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B3279F" w:rsidRPr="00ED5991" w:rsidRDefault="00B3279F" w:rsidP="00B3279F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B3279F" w:rsidRPr="007833C5" w:rsidRDefault="00B3279F" w:rsidP="00B3279F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B3279F" w:rsidRPr="001E410B" w:rsidRDefault="00B3279F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1E410B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1E410B">
        <w:rPr>
          <w:rFonts w:ascii="Times New Roman" w:hAnsi="Times New Roman"/>
          <w:sz w:val="24"/>
          <w:szCs w:val="24"/>
        </w:rPr>
        <w:t>“Б” –</w:t>
      </w:r>
    </w:p>
    <w:p w:rsidR="001E410B" w:rsidRDefault="001E410B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E410B">
        <w:rPr>
          <w:rFonts w:ascii="Times New Roman" w:hAnsi="Times New Roman"/>
          <w:sz w:val="24"/>
          <w:szCs w:val="24"/>
          <w:lang w:eastAsia="ru-RU"/>
        </w:rPr>
        <w:t xml:space="preserve">начальника відділу зовнішніх комунікацій управління </w:t>
      </w:r>
      <w:proofErr w:type="spellStart"/>
      <w:r w:rsidRPr="001E410B">
        <w:rPr>
          <w:rFonts w:ascii="Times New Roman" w:hAnsi="Times New Roman"/>
          <w:sz w:val="24"/>
          <w:szCs w:val="24"/>
          <w:lang w:eastAsia="ru-RU"/>
        </w:rPr>
        <w:t>зв'язків</w:t>
      </w:r>
      <w:proofErr w:type="spellEnd"/>
      <w:r w:rsidRPr="001E410B">
        <w:rPr>
          <w:rFonts w:ascii="Times New Roman" w:hAnsi="Times New Roman"/>
          <w:sz w:val="24"/>
          <w:szCs w:val="24"/>
          <w:lang w:eastAsia="ru-RU"/>
        </w:rPr>
        <w:t xml:space="preserve"> з громадськістю </w:t>
      </w:r>
    </w:p>
    <w:p w:rsidR="00B3279F" w:rsidRPr="001E410B" w:rsidRDefault="001E410B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1E410B">
        <w:rPr>
          <w:rFonts w:ascii="Times New Roman" w:hAnsi="Times New Roman"/>
          <w:sz w:val="24"/>
          <w:szCs w:val="24"/>
          <w:lang w:eastAsia="ru-RU"/>
        </w:rPr>
        <w:t>Департаменту комунікацій</w:t>
      </w:r>
    </w:p>
    <w:p w:rsidR="00B3279F" w:rsidRDefault="00B3279F" w:rsidP="00B3279F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24"/>
        <w:gridCol w:w="6296"/>
      </w:tblGrid>
      <w:tr w:rsidR="00B3279F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B3279F" w:rsidRPr="00ED5991" w:rsidRDefault="00B3279F" w:rsidP="00647A89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B3279F" w:rsidRPr="00ED5991" w:rsidTr="002441E2">
        <w:trPr>
          <w:trHeight w:val="621"/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57" w:type="pct"/>
            <w:shd w:val="clear" w:color="auto" w:fill="auto"/>
          </w:tcPr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рганізовує комунікаційну стратегію НСЗУ через офіційний сайт НСЗУ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абезпечує ідентифікацію, класифікацію зацікавлених осіб та їх інформування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рганізовує управління офіційним веб-сайтом НСЗУ: координує процеси створення, наповнення та внесення змін до контенту сайту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рганізовує публікацію щорічного звіту про результати діяльності, який включає аналіз та середньостроковий прогноз потреб населення у медичному обслуговуванні за програмою медичних гарантій та аналіз виконання надавачами медичних послуг договорів про медичне обслуговування населення та договорів про </w:t>
            </w:r>
            <w:proofErr w:type="spellStart"/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абезпечує публікацію іншої необхідної інформації, визначеної відповідно до встановлених норм законодавства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рганізовує виконання інших задач, пов’язаних з підтримкою функціонування веб-сайту НСЗУ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ере участь у розробці, організації та супроводі комунікаційних кампаній НСЗУ, спрямованих на позиціонування, підвищення обізнаності про діяльність НСЗУ та популяризацію цієї діяльності, формування позитивного іміджу НСЗУ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абезпечує вибір оптимальних рішень для досягнення максимальної ефективності інформаційних кампаній НСЗУ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абезпечує в межах повноважень, передбачених чинним законодавством, залучення громадян до участі в управлінні державними справами, ефективну взаємодію з інститутами громадянського суспільства, здійснення громадського контролю за діяльність НСЗУ, врахування громадської думки під час реалізації державної політики у сфері, що належить до компетенції НСЗУ, шляхом організації відповідних заходів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рганізовує роботу з візуалізації інформації про діяльність НСЗУ та її структурних підрозділів: графічний дизайн, створення фото- та відео репортажів, фотосесій тощо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E410B" w:rsidRPr="001E410B" w:rsidRDefault="001E410B" w:rsidP="00DF68CA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організовує </w:t>
            </w:r>
            <w:r w:rsidR="00250D8F">
              <w:rPr>
                <w:rFonts w:ascii="Times New Roman" w:hAnsi="Times New Roman"/>
                <w:color w:val="000000"/>
                <w:sz w:val="24"/>
                <w:szCs w:val="24"/>
              </w:rPr>
              <w:t>та з</w:t>
            </w:r>
            <w:r w:rsidR="00250D8F"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дійснює </w:t>
            </w: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t>комунікації з представниками громадськості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0DB1" w:rsidRPr="001E410B" w:rsidRDefault="001E410B" w:rsidP="001E410B">
            <w:pPr>
              <w:pStyle w:val="a4"/>
              <w:numPr>
                <w:ilvl w:val="2"/>
                <w:numId w:val="5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41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бере участь у здійсненні постійного аналізу суспільно-політичної ситуації у сфері діяльності НСЗУ, прогнозуванні її тенденцій, формуванні та аналізі стратегії НСЗУ, процесах оцінки та моніторингу ризиків</w:t>
            </w:r>
          </w:p>
        </w:tc>
      </w:tr>
      <w:tr w:rsidR="00B3279F" w:rsidRPr="00ED5991" w:rsidTr="002441E2">
        <w:trPr>
          <w:trHeight w:val="1977"/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57" w:type="pct"/>
          </w:tcPr>
          <w:p w:rsidR="00B3279F" w:rsidRPr="00DF68CA" w:rsidRDefault="00B3279F" w:rsidP="00647A89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DF68CA">
              <w:t xml:space="preserve">– </w:t>
            </w:r>
            <w:r w:rsidR="004146E1">
              <w:t>11</w:t>
            </w:r>
            <w:r w:rsidRPr="00DF68CA">
              <w:rPr>
                <w:color w:val="000000" w:themeColor="text1"/>
              </w:rPr>
              <w:t> </w:t>
            </w:r>
            <w:r w:rsidR="00DF68CA" w:rsidRPr="00DF68CA">
              <w:rPr>
                <w:color w:val="000000" w:themeColor="text1"/>
              </w:rPr>
              <w:t>0</w:t>
            </w:r>
            <w:r w:rsidR="004146E1">
              <w:rPr>
                <w:color w:val="000000" w:themeColor="text1"/>
              </w:rPr>
              <w:t>0</w:t>
            </w:r>
            <w:r w:rsidRPr="00DF68CA">
              <w:rPr>
                <w:color w:val="000000" w:themeColor="text1"/>
              </w:rPr>
              <w:t>0 грн;</w:t>
            </w:r>
          </w:p>
          <w:p w:rsidR="00B3279F" w:rsidRDefault="00B3279F" w:rsidP="00647A89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B3279F" w:rsidRPr="00FD11AB" w:rsidRDefault="00B3279F" w:rsidP="00647A89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B3279F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57" w:type="pct"/>
          </w:tcPr>
          <w:p w:rsidR="00B3279F" w:rsidRDefault="00B3279F" w:rsidP="00647A89">
            <w:pPr>
              <w:spacing w:line="240" w:lineRule="auto"/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B3279F" w:rsidRPr="00ED5915" w:rsidRDefault="00B3279F" w:rsidP="00647A89">
            <w:pPr>
              <w:spacing w:line="240" w:lineRule="auto"/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B3279F" w:rsidRPr="00ED5991" w:rsidRDefault="00B3279F" w:rsidP="00647A89">
            <w:pPr>
              <w:pStyle w:val="rvps14"/>
              <w:spacing w:before="0" w:beforeAutospacing="0" w:after="0" w:afterAutospacing="0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57" w:type="pct"/>
          </w:tcPr>
          <w:p w:rsidR="00DF68CA" w:rsidRPr="00416ED7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F68CA" w:rsidRPr="00416ED7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DF68CA" w:rsidRPr="00416ED7" w:rsidRDefault="00DF68CA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DF68CA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наченого Закону; </w:t>
            </w:r>
          </w:p>
          <w:p w:rsidR="00DF68CA" w:rsidRDefault="0018547E" w:rsidP="00DF68CA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="00DF68CA">
              <w:rPr>
                <w:rFonts w:ascii="Times New Roman" w:hAnsi="Times New Roman"/>
                <w:sz w:val="24"/>
                <w:szCs w:val="24"/>
              </w:rPr>
              <w:t>одача</w:t>
            </w:r>
            <w:proofErr w:type="spellEnd"/>
            <w:r w:rsidR="00DF68CA">
              <w:rPr>
                <w:rFonts w:ascii="Times New Roman" w:hAnsi="Times New Roman"/>
                <w:sz w:val="24"/>
                <w:szCs w:val="24"/>
              </w:rPr>
              <w:t xml:space="preserve"> додатків до заяви не є обов’язковою.</w:t>
            </w:r>
          </w:p>
          <w:p w:rsidR="00DF68CA" w:rsidRPr="00281173" w:rsidRDefault="00DF68CA" w:rsidP="00DF68CA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F68CA" w:rsidRPr="00FB2759" w:rsidRDefault="00DF68CA" w:rsidP="00DF68CA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DF68CA" w:rsidRPr="00D3154A" w:rsidRDefault="00DF68CA" w:rsidP="00DF68CA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DF68CA" w:rsidRPr="00FB2759" w:rsidRDefault="00DF68CA" w:rsidP="00DF68CA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DF68CA" w:rsidRPr="00D3154A" w:rsidRDefault="00DF68CA" w:rsidP="00903088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lastRenderedPageBreak/>
              <w:t>Інформація приймається до 17</w:t>
            </w:r>
            <w:r>
              <w:t> </w:t>
            </w:r>
            <w:r w:rsidRPr="00685A94">
              <w:t>год 00</w:t>
            </w:r>
            <w:r>
              <w:t> </w:t>
            </w:r>
            <w:r w:rsidRPr="00685A94">
              <w:t xml:space="preserve">хв </w:t>
            </w:r>
            <w:r>
              <w:t>2</w:t>
            </w:r>
            <w:r w:rsidR="00903088">
              <w:t>6</w:t>
            </w:r>
            <w:r w:rsidRPr="00685A94">
              <w:t xml:space="preserve"> </w:t>
            </w:r>
            <w:r>
              <w:t>жовтня</w:t>
            </w:r>
            <w:r w:rsidRPr="00685A94">
              <w:t xml:space="preserve">                      2021 року</w:t>
            </w:r>
          </w:p>
        </w:tc>
      </w:tr>
      <w:tr w:rsidR="00B3279F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B3279F" w:rsidRPr="00ED5991" w:rsidRDefault="00B3279F" w:rsidP="00647A89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57" w:type="pct"/>
          </w:tcPr>
          <w:p w:rsidR="00B3279F" w:rsidRPr="00D3154A" w:rsidRDefault="00B3279F" w:rsidP="00647A89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DF68CA" w:rsidRDefault="00DF68CA" w:rsidP="00DF68CA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3088">
              <w:rPr>
                <w:sz w:val="24"/>
                <w:szCs w:val="24"/>
              </w:rPr>
              <w:t>8</w:t>
            </w:r>
            <w:r w:rsidRPr="00685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жовтня</w:t>
            </w:r>
            <w:r w:rsidRPr="00685A94">
              <w:rPr>
                <w:sz w:val="24"/>
                <w:szCs w:val="24"/>
              </w:rPr>
              <w:t xml:space="preserve"> 2021 року о 10 год 00 хв.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DF68CA" w:rsidRDefault="00DF68CA" w:rsidP="00DF68C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F68CA" w:rsidRPr="00D3154A" w:rsidRDefault="00DF68CA" w:rsidP="00DF68C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F68CA" w:rsidRDefault="00DF68CA" w:rsidP="00DF68C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cs="Times New Roman"/>
                <w:sz w:val="24"/>
                <w:szCs w:val="24"/>
              </w:rPr>
              <w:t xml:space="preserve"> співбесіди </w:t>
            </w:r>
            <w:r w:rsidRPr="00D315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cs="Times New Roman"/>
                <w:sz w:val="24"/>
                <w:szCs w:val="24"/>
              </w:rPr>
              <w:t>дистанційно</w:t>
            </w:r>
            <w:r w:rsidRPr="00D3154A">
              <w:rPr>
                <w:sz w:val="24"/>
                <w:szCs w:val="24"/>
              </w:rPr>
              <w:t xml:space="preserve"> </w:t>
            </w:r>
            <w:r w:rsidRPr="00D3154A">
              <w:rPr>
                <w:rFonts w:cs="Times New Roman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cs="Times New Roman"/>
                <w:bCs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cs="Times New Roman"/>
                <w:bCs/>
                <w:sz w:val="24"/>
                <w:szCs w:val="24"/>
              </w:rPr>
              <w:t>) або за фізичної присутності кандидата (м. Київ</w:t>
            </w:r>
            <w:r>
              <w:rPr>
                <w:rFonts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просп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. Степана Бандери, 19).</w:t>
            </w:r>
          </w:p>
          <w:p w:rsidR="00DF68CA" w:rsidRPr="00D3154A" w:rsidRDefault="00DF68CA" w:rsidP="00DF68CA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Інформацію щодо зазначеного формату зустрічі буде </w:t>
            </w:r>
            <w:r w:rsidRPr="00D3154A">
              <w:rPr>
                <w:rFonts w:cs="Times New Roman"/>
                <w:bCs/>
                <w:sz w:val="24"/>
                <w:szCs w:val="24"/>
              </w:rPr>
              <w:t>надано додатково.</w:t>
            </w:r>
          </w:p>
          <w:p w:rsidR="00DF68CA" w:rsidRPr="00FA2152" w:rsidRDefault="00DF68CA" w:rsidP="00DF68CA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57" w:type="pct"/>
          </w:tcPr>
          <w:p w:rsidR="002A52CA" w:rsidRPr="00F679DA" w:rsidRDefault="002A52CA" w:rsidP="002A52CA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:rsidR="00DF68CA" w:rsidRPr="00ED5991" w:rsidRDefault="00DF68CA" w:rsidP="00DF68CA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DF68CA" w:rsidRPr="00DA0AC7" w:rsidRDefault="00DF68CA" w:rsidP="00DF68C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57" w:type="pct"/>
          </w:tcPr>
          <w:p w:rsidR="00DF68CA" w:rsidRPr="00DA0AC7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57" w:type="pct"/>
          </w:tcPr>
          <w:p w:rsidR="00DF68CA" w:rsidRPr="00DA0AC7" w:rsidRDefault="00DF68CA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DF68CA" w:rsidRPr="00DA0AC7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57" w:type="pct"/>
          </w:tcPr>
          <w:p w:rsidR="00DF68CA" w:rsidRDefault="00DF68CA" w:rsidP="00DF68C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  <w:p w:rsidR="00DF68CA" w:rsidRPr="00DA0AC7" w:rsidRDefault="00DF68CA" w:rsidP="00DF68CA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DF68CA" w:rsidRPr="00776ABE" w:rsidRDefault="00DF68CA" w:rsidP="00DF68CA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DF68CA" w:rsidRPr="00776ABE" w:rsidRDefault="00DF68CA" w:rsidP="00DF68CA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8CA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DF68CA" w:rsidRPr="00776ABE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DF68CA" w:rsidRPr="00776ABE" w:rsidRDefault="00DF68CA" w:rsidP="00DF68CA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DF68CA" w:rsidRPr="00ED5991" w:rsidTr="00647A89">
        <w:trPr>
          <w:tblCellSpacing w:w="22" w:type="dxa"/>
        </w:trPr>
        <w:tc>
          <w:tcPr>
            <w:tcW w:w="4957" w:type="pct"/>
            <w:gridSpan w:val="3"/>
          </w:tcPr>
          <w:p w:rsidR="00DF68CA" w:rsidRPr="00ED5991" w:rsidRDefault="00DF68CA" w:rsidP="00DF68CA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DF68CA" w:rsidRPr="00ED5991" w:rsidTr="002441E2">
        <w:trPr>
          <w:tblCellSpacing w:w="22" w:type="dxa"/>
        </w:trPr>
        <w:tc>
          <w:tcPr>
            <w:tcW w:w="1878" w:type="pct"/>
            <w:gridSpan w:val="2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DF68CA" w:rsidRPr="00ED5991" w:rsidRDefault="00DF68CA" w:rsidP="00DF68CA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68CA" w:rsidRPr="00ED5991" w:rsidTr="002441E2">
        <w:trPr>
          <w:trHeight w:val="1339"/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DF68CA" w:rsidRPr="00ED5991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57" w:type="pct"/>
          </w:tcPr>
          <w:p w:rsidR="00DF68CA" w:rsidRPr="00E42A3F" w:rsidRDefault="00DF68CA" w:rsidP="00DF68CA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DF68CA" w:rsidRPr="00ED5991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68CA" w:rsidRPr="00ED5991" w:rsidRDefault="00DF68CA" w:rsidP="00DF68CA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DF68CA" w:rsidRPr="00ED3784" w:rsidRDefault="00DF68CA" w:rsidP="00DF68CA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2441E2" w:rsidRPr="00ED5991" w:rsidTr="002441E2">
        <w:trPr>
          <w:tblCellSpacing w:w="22" w:type="dxa"/>
        </w:trPr>
        <w:tc>
          <w:tcPr>
            <w:tcW w:w="157" w:type="pct"/>
          </w:tcPr>
          <w:p w:rsidR="002441E2" w:rsidRPr="00ED5991" w:rsidRDefault="002441E2" w:rsidP="002441E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  <w:shd w:val="clear" w:color="auto" w:fill="auto"/>
          </w:tcPr>
          <w:p w:rsidR="002441E2" w:rsidRPr="00B604C1" w:rsidRDefault="002441E2" w:rsidP="002441E2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57" w:type="pct"/>
            <w:shd w:val="clear" w:color="auto" w:fill="auto"/>
          </w:tcPr>
          <w:p w:rsidR="002441E2" w:rsidRPr="00345704" w:rsidRDefault="002441E2" w:rsidP="002441E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Знання:</w:t>
            </w:r>
          </w:p>
          <w:p w:rsidR="002441E2" w:rsidRDefault="002441E2" w:rsidP="002441E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 w:rsidRPr="00345704">
              <w:rPr>
                <w:sz w:val="24"/>
                <w:szCs w:val="24"/>
                <w:lang w:eastAsia="ru-RU"/>
              </w:rPr>
              <w:t xml:space="preserve">Закону України </w:t>
            </w:r>
            <w:r w:rsidRPr="00345704">
              <w:rPr>
                <w:sz w:val="24"/>
                <w:szCs w:val="24"/>
                <w:lang w:val="ru-RU" w:eastAsia="ru-RU"/>
              </w:rPr>
              <w:t>“</w:t>
            </w:r>
            <w:r w:rsidRPr="00345704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345704">
              <w:rPr>
                <w:sz w:val="24"/>
                <w:szCs w:val="24"/>
                <w:lang w:val="ru-RU" w:eastAsia="ru-RU"/>
              </w:rPr>
              <w:t>”</w:t>
            </w:r>
            <w:r w:rsidRPr="00345704">
              <w:rPr>
                <w:sz w:val="24"/>
                <w:szCs w:val="24"/>
                <w:lang w:eastAsia="ru-RU"/>
              </w:rPr>
              <w:t>;</w:t>
            </w:r>
          </w:p>
          <w:p w:rsidR="00980088" w:rsidRDefault="00980088" w:rsidP="002441E2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 Закону </w:t>
            </w:r>
            <w:r w:rsidRPr="00345704">
              <w:rPr>
                <w:sz w:val="24"/>
                <w:szCs w:val="24"/>
                <w:lang w:eastAsia="ru-RU"/>
              </w:rPr>
              <w:t>України</w:t>
            </w:r>
            <w:r w:rsidRPr="00345704">
              <w:rPr>
                <w:sz w:val="24"/>
                <w:szCs w:val="24"/>
                <w:lang w:val="ru-RU" w:eastAsia="ru-RU"/>
              </w:rPr>
              <w:t xml:space="preserve"> </w:t>
            </w:r>
            <w:r w:rsidRPr="00345704">
              <w:rPr>
                <w:sz w:val="24"/>
                <w:szCs w:val="24"/>
                <w:lang w:val="ru-RU" w:eastAsia="ru-RU"/>
              </w:rPr>
              <w:t>“</w:t>
            </w:r>
            <w:r w:rsidRPr="00345704">
              <w:rPr>
                <w:sz w:val="24"/>
                <w:szCs w:val="24"/>
                <w:lang w:eastAsia="ru-RU"/>
              </w:rPr>
              <w:t>Про</w:t>
            </w:r>
            <w:r>
              <w:rPr>
                <w:sz w:val="24"/>
                <w:szCs w:val="24"/>
                <w:lang w:eastAsia="ru-RU"/>
              </w:rPr>
              <w:t xml:space="preserve"> доступ до публічної інформації</w:t>
            </w:r>
            <w:r w:rsidRPr="00345704">
              <w:rPr>
                <w:sz w:val="24"/>
                <w:szCs w:val="24"/>
                <w:lang w:val="ru-RU" w:eastAsia="ru-RU"/>
              </w:rPr>
              <w:t>”</w:t>
            </w:r>
            <w:r w:rsidRPr="00345704">
              <w:rPr>
                <w:sz w:val="24"/>
                <w:szCs w:val="24"/>
                <w:lang w:eastAsia="ru-RU"/>
              </w:rPr>
              <w:t>;</w:t>
            </w:r>
          </w:p>
          <w:p w:rsidR="00980088" w:rsidRDefault="00980088" w:rsidP="009800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 Закон</w:t>
            </w:r>
            <w:r>
              <w:rPr>
                <w:sz w:val="24"/>
                <w:szCs w:val="24"/>
                <w:lang w:val="ru-RU" w:eastAsia="ru-RU"/>
              </w:rPr>
              <w:t>у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345704">
              <w:rPr>
                <w:sz w:val="24"/>
                <w:szCs w:val="24"/>
                <w:lang w:eastAsia="ru-RU"/>
              </w:rPr>
              <w:t>України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45704">
              <w:rPr>
                <w:sz w:val="24"/>
                <w:szCs w:val="24"/>
                <w:lang w:val="ru-RU" w:eastAsia="ru-RU"/>
              </w:rPr>
              <w:t>“</w:t>
            </w:r>
            <w:r w:rsidRPr="00345704">
              <w:rPr>
                <w:sz w:val="24"/>
                <w:szCs w:val="24"/>
                <w:lang w:eastAsia="ru-RU"/>
              </w:rPr>
              <w:t>Про</w:t>
            </w:r>
            <w:r>
              <w:rPr>
                <w:sz w:val="24"/>
                <w:szCs w:val="24"/>
                <w:lang w:eastAsia="ru-RU"/>
              </w:rPr>
              <w:t xml:space="preserve"> захист персональних даних</w:t>
            </w:r>
            <w:r w:rsidRPr="00345704">
              <w:rPr>
                <w:sz w:val="24"/>
                <w:szCs w:val="24"/>
                <w:lang w:val="ru-RU" w:eastAsia="ru-RU"/>
              </w:rPr>
              <w:t>”</w:t>
            </w:r>
            <w:r w:rsidRPr="00345704">
              <w:rPr>
                <w:sz w:val="24"/>
                <w:szCs w:val="24"/>
                <w:lang w:eastAsia="ru-RU"/>
              </w:rPr>
              <w:t>;</w:t>
            </w:r>
          </w:p>
          <w:p w:rsidR="002441E2" w:rsidRPr="00345704" w:rsidRDefault="002441E2" w:rsidP="00980088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Постанови Кабінету Міністр</w:t>
            </w:r>
            <w:bookmarkStart w:id="0" w:name="_GoBack"/>
            <w:bookmarkEnd w:id="0"/>
            <w:r w:rsidRPr="00345704">
              <w:rPr>
                <w:sz w:val="24"/>
                <w:szCs w:val="24"/>
              </w:rPr>
              <w:t xml:space="preserve">ів України від 27.12.2017 </w:t>
            </w:r>
            <w:r w:rsidRPr="00345704">
              <w:rPr>
                <w:sz w:val="24"/>
                <w:szCs w:val="24"/>
              </w:rPr>
              <w:br/>
              <w:t>№ 1101 “Про утворення Націон</w:t>
            </w:r>
            <w:r w:rsidR="00980088">
              <w:rPr>
                <w:sz w:val="24"/>
                <w:szCs w:val="24"/>
              </w:rPr>
              <w:t>альної служби здоров’я України”.</w:t>
            </w:r>
          </w:p>
        </w:tc>
      </w:tr>
      <w:tr w:rsidR="00DF68CA" w:rsidRPr="00ED5991" w:rsidTr="00655A8E">
        <w:trPr>
          <w:trHeight w:val="1247"/>
          <w:tblCellSpacing w:w="22" w:type="dxa"/>
        </w:trPr>
        <w:tc>
          <w:tcPr>
            <w:tcW w:w="157" w:type="pct"/>
          </w:tcPr>
          <w:p w:rsidR="00DF68CA" w:rsidRPr="00ED5991" w:rsidRDefault="00DF68CA" w:rsidP="00DF68CA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  <w:shd w:val="clear" w:color="auto" w:fill="auto"/>
          </w:tcPr>
          <w:p w:rsidR="00DF68CA" w:rsidRPr="00776ABE" w:rsidRDefault="002441E2" w:rsidP="004146E1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3637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</w:t>
            </w:r>
            <w:r w:rsidR="004146E1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основ комунікації, а також специфіки побудови комунікаційних процесів державних органів, у тому числі кризових комунікацій</w:t>
            </w:r>
          </w:p>
        </w:tc>
        <w:tc>
          <w:tcPr>
            <w:tcW w:w="3057" w:type="pct"/>
            <w:shd w:val="clear" w:color="auto" w:fill="auto"/>
          </w:tcPr>
          <w:p w:rsidR="004146E1" w:rsidRDefault="004146E1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Ідентифікація, класифікація зацікавлених осіб та забезпечення їх інформування.</w:t>
            </w:r>
          </w:p>
          <w:p w:rsidR="00D44AD7" w:rsidRDefault="004146E1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у розробці, організації та супроводі комунікаційних кампаній НСЗУ, спрямованих на </w:t>
            </w:r>
            <w:r w:rsidR="00D44AD7">
              <w:rPr>
                <w:sz w:val="24"/>
                <w:szCs w:val="24"/>
              </w:rPr>
              <w:t>позиціонування, підвищення обізнаності про діяльність НСЗУ та популяризацію цієї діяльності, формування позитивного іміджу НСЗУ.</w:t>
            </w:r>
          </w:p>
          <w:p w:rsidR="00D44AD7" w:rsidRDefault="00D44AD7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Забезпечення вибору оптимальних рішень для досягнення максимальної ефективності таких інформаційних компаній НСЗУ.</w:t>
            </w:r>
          </w:p>
          <w:p w:rsidR="00D44AD7" w:rsidRDefault="00D44AD7" w:rsidP="00DF68C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у візуалізації інформації про діяльність НСЗУ та її структурних підрозділів: графічний дизайн, створення фото</w:t>
            </w:r>
            <w:r w:rsidR="00250D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та відео репортажів, фотосесій тощо.</w:t>
            </w:r>
          </w:p>
          <w:p w:rsidR="00DF68CA" w:rsidRDefault="002441E2" w:rsidP="00D44AD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3637E">
              <w:rPr>
                <w:sz w:val="24"/>
                <w:szCs w:val="24"/>
              </w:rPr>
              <w:t xml:space="preserve">Забезпечення </w:t>
            </w:r>
            <w:r w:rsidR="00D44AD7">
              <w:rPr>
                <w:sz w:val="24"/>
                <w:szCs w:val="24"/>
              </w:rPr>
              <w:t>комунікації з представниками професійної спільноти.</w:t>
            </w:r>
          </w:p>
          <w:p w:rsidR="00D44AD7" w:rsidRPr="00776ABE" w:rsidRDefault="00D44AD7" w:rsidP="00D44AD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Здійснення постійного аналізу суспільно-політичної ситуації у сфері діяльності НСЗУ, прогнозування тенденцій та моніторинг ризиків.</w:t>
            </w:r>
          </w:p>
        </w:tc>
      </w:tr>
    </w:tbl>
    <w:p w:rsidR="00B3279F" w:rsidRDefault="00B3279F" w:rsidP="00B3279F"/>
    <w:p w:rsidR="00B3279F" w:rsidRDefault="00B3279F" w:rsidP="00B3279F"/>
    <w:sectPr w:rsidR="00B3279F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EAA"/>
    <w:multiLevelType w:val="multilevel"/>
    <w:tmpl w:val="43B015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413BD7"/>
    <w:multiLevelType w:val="hybridMultilevel"/>
    <w:tmpl w:val="B47223AE"/>
    <w:lvl w:ilvl="0" w:tplc="0422000D">
      <w:start w:val="1"/>
      <w:numFmt w:val="bullet"/>
      <w:lvlText w:val=""/>
      <w:lvlJc w:val="left"/>
      <w:pPr>
        <w:ind w:left="101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 w15:restartNumberingAfterBreak="0">
    <w:nsid w:val="1B5842BE"/>
    <w:multiLevelType w:val="multilevel"/>
    <w:tmpl w:val="47AABE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BA51BB"/>
    <w:multiLevelType w:val="hybridMultilevel"/>
    <w:tmpl w:val="548E332A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3B6F5D"/>
    <w:multiLevelType w:val="multilevel"/>
    <w:tmpl w:val="18EED31A"/>
    <w:lvl w:ilvl="0">
      <w:start w:val="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8" w:hanging="936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880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5" w15:restartNumberingAfterBreak="0">
    <w:nsid w:val="4C3B3EAE"/>
    <w:multiLevelType w:val="multilevel"/>
    <w:tmpl w:val="45A2D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36BC4"/>
    <w:multiLevelType w:val="hybridMultilevel"/>
    <w:tmpl w:val="8276502E"/>
    <w:lvl w:ilvl="0" w:tplc="0422000D">
      <w:start w:val="1"/>
      <w:numFmt w:val="bullet"/>
      <w:lvlText w:val=""/>
      <w:lvlJc w:val="left"/>
      <w:pPr>
        <w:ind w:left="1018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38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" w15:restartNumberingAfterBreak="0">
    <w:nsid w:val="69B930D6"/>
    <w:multiLevelType w:val="multilevel"/>
    <w:tmpl w:val="5E0C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9F"/>
    <w:rsid w:val="0007162C"/>
    <w:rsid w:val="000A2BA8"/>
    <w:rsid w:val="0018547E"/>
    <w:rsid w:val="001E410B"/>
    <w:rsid w:val="002441E2"/>
    <w:rsid w:val="00250D8F"/>
    <w:rsid w:val="002A52CA"/>
    <w:rsid w:val="00314378"/>
    <w:rsid w:val="00382A13"/>
    <w:rsid w:val="004146E1"/>
    <w:rsid w:val="00471A3A"/>
    <w:rsid w:val="00655A8E"/>
    <w:rsid w:val="00655AC2"/>
    <w:rsid w:val="00903088"/>
    <w:rsid w:val="00980088"/>
    <w:rsid w:val="00A95409"/>
    <w:rsid w:val="00B3279F"/>
    <w:rsid w:val="00B67686"/>
    <w:rsid w:val="00B725A4"/>
    <w:rsid w:val="00BD27FA"/>
    <w:rsid w:val="00BE1923"/>
    <w:rsid w:val="00BF4F03"/>
    <w:rsid w:val="00D44AD7"/>
    <w:rsid w:val="00D77ECE"/>
    <w:rsid w:val="00DF68CA"/>
    <w:rsid w:val="00EC0DB1"/>
    <w:rsid w:val="00E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51C6"/>
  <w15:chartTrackingRefBased/>
  <w15:docId w15:val="{478D151C-9485-45A1-86AE-F045A1D3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9F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B32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D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B3279F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B3279F"/>
  </w:style>
  <w:style w:type="paragraph" w:customStyle="1" w:styleId="rvps14">
    <w:name w:val="rvps14"/>
    <w:basedOn w:val="a"/>
    <w:uiPriority w:val="99"/>
    <w:rsid w:val="00B3279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3279F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B3279F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409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C0DB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6249</Words>
  <Characters>3563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17</cp:revision>
  <cp:lastPrinted>2021-10-13T14:34:00Z</cp:lastPrinted>
  <dcterms:created xsi:type="dcterms:W3CDTF">2021-09-30T07:01:00Z</dcterms:created>
  <dcterms:modified xsi:type="dcterms:W3CDTF">2021-10-19T15:03:00Z</dcterms:modified>
</cp:coreProperties>
</file>