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9F" w:rsidRPr="0007162C" w:rsidRDefault="00B3279F" w:rsidP="00B3279F"/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B3279F" w:rsidRPr="00ED5991" w:rsidTr="00647A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279F" w:rsidRPr="008D2996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DF68CA">
              <w:rPr>
                <w:color w:val="000000"/>
                <w:sz w:val="24"/>
                <w:szCs w:val="24"/>
              </w:rPr>
              <w:t>3</w:t>
            </w:r>
          </w:p>
          <w:p w:rsidR="00B3279F" w:rsidRPr="00D3154A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B3279F" w:rsidRPr="00D3154A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B3279F" w:rsidRPr="00ED5991" w:rsidRDefault="00B3279F" w:rsidP="00B94EA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 xml:space="preserve">від </w:t>
            </w:r>
            <w:r w:rsidR="00B94EAC">
              <w:rPr>
                <w:color w:val="000000"/>
                <w:sz w:val="24"/>
                <w:szCs w:val="24"/>
              </w:rPr>
              <w:t>19</w:t>
            </w:r>
            <w:r w:rsidR="00DF68CA">
              <w:rPr>
                <w:color w:val="000000"/>
                <w:sz w:val="24"/>
                <w:szCs w:val="24"/>
              </w:rPr>
              <w:t>.</w:t>
            </w:r>
            <w:r w:rsidR="00B94EAC">
              <w:rPr>
                <w:color w:val="000000"/>
                <w:sz w:val="24"/>
                <w:szCs w:val="24"/>
              </w:rPr>
              <w:t>10</w:t>
            </w:r>
            <w:r w:rsidR="0007162C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B94EAC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B3279F" w:rsidRPr="00ED5991" w:rsidRDefault="00B3279F" w:rsidP="00B3279F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B3279F" w:rsidRPr="007833C5" w:rsidRDefault="00B3279F" w:rsidP="00B3279F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B3279F" w:rsidRDefault="00B3279F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7833C5">
        <w:rPr>
          <w:rFonts w:ascii="Times New Roman" w:hAnsi="Times New Roman"/>
          <w:sz w:val="24"/>
          <w:szCs w:val="24"/>
        </w:rPr>
        <w:t>“Б” –</w:t>
      </w:r>
    </w:p>
    <w:p w:rsidR="00B3279F" w:rsidRDefault="00DF68CA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785EE1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начальника відділу договірної роботи управління у </w:t>
      </w:r>
      <w:r>
        <w:rPr>
          <w:rFonts w:ascii="Times New Roman" w:hAnsi="Times New Roman"/>
          <w:bCs/>
          <w:sz w:val="24"/>
          <w:szCs w:val="24"/>
          <w:lang w:eastAsia="ru-RU"/>
        </w:rPr>
        <w:t>Донецькій області</w:t>
      </w:r>
    </w:p>
    <w:p w:rsidR="00DF68CA" w:rsidRPr="00E6755E" w:rsidRDefault="00DF68CA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Схід</w:t>
      </w:r>
      <w:r w:rsidRPr="00785EE1">
        <w:rPr>
          <w:rFonts w:ascii="Times New Roman" w:hAnsi="Times New Roman"/>
          <w:bCs/>
          <w:sz w:val="24"/>
          <w:szCs w:val="24"/>
          <w:lang w:eastAsia="ru-RU"/>
        </w:rPr>
        <w:t>ног</w:t>
      </w:r>
      <w:r>
        <w:rPr>
          <w:rFonts w:ascii="Times New Roman" w:hAnsi="Times New Roman"/>
          <w:bCs/>
          <w:sz w:val="24"/>
          <w:szCs w:val="24"/>
          <w:lang w:eastAsia="ru-RU"/>
        </w:rPr>
        <w:t>о міжрегіонального департаменту</w:t>
      </w:r>
    </w:p>
    <w:p w:rsidR="00B3279F" w:rsidRDefault="00B3279F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24"/>
        <w:gridCol w:w="6296"/>
      </w:tblGrid>
      <w:tr w:rsidR="00B3279F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B3279F" w:rsidRPr="00ED5991" w:rsidRDefault="00B3279F" w:rsidP="00647A89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B3279F" w:rsidRPr="00ED5991" w:rsidTr="002441E2">
        <w:trPr>
          <w:trHeight w:val="621"/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57" w:type="pct"/>
            <w:shd w:val="clear" w:color="auto" w:fill="auto"/>
          </w:tcPr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рганізовує підготовчу роботу щодо укладення, зміни та припинення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договорів щодо надання первинної, спеціалізованої, високоспеціалізованої,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екстреної, паліативної медичної допомоги та реабілітації, договорів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38E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42638E">
              <w:rPr>
                <w:rFonts w:ascii="Times New Roman" w:hAnsi="Times New Roman"/>
                <w:sz w:val="24"/>
                <w:szCs w:val="24"/>
              </w:rPr>
              <w:t xml:space="preserve"> в регіоні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дійснює заходи щодо попередження недотримання закладами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здоров’я усіх форм власності та фізичними особами-підприємцями, які одержали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ліцензію на провадження господарської діяльності з медичної практики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уклали договір про медичне обслуговування населення з НСЗУ, і суб’єктами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господарювання, які провадять господарську діяльність на підставі ліцензії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провадження господарської діяльності з роздрібної торгівлі лікарськими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засобами та уклали договір про </w:t>
            </w:r>
            <w:proofErr w:type="spellStart"/>
            <w:r w:rsidRPr="0042638E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42638E">
              <w:rPr>
                <w:rFonts w:ascii="Times New Roman" w:hAnsi="Times New Roman"/>
                <w:sz w:val="24"/>
                <w:szCs w:val="24"/>
              </w:rPr>
              <w:t>, незалежно від їх форми власності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та підпорядкування (далі – контрагенти) вимог, установлених договорами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медичне обслуговування населення та договорами про </w:t>
            </w:r>
            <w:proofErr w:type="spellStart"/>
            <w:r w:rsidRPr="0042638E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роводить консультації з контрагентами НСЗУ щодо порядку та умов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укладення, зміни, виконання та припинення договорів про медичне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обслуговування населення та договорів про </w:t>
            </w:r>
            <w:proofErr w:type="spellStart"/>
            <w:r w:rsidRPr="0042638E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дійснює заходи щодо супроводу та підтримки наявних та потенційних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контрагентів НСЗУ у регіоні щодо укладення,</w:t>
            </w:r>
            <w:r w:rsidRPr="00FC0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зміни та припинення договорів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медичне обслуговування населенн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та договорів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нформує начальника управління, керівництво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епартаменту та відповідні структурні підрозділи НСЗУ про виявлені порушення умов договорів про медичне обслуговування населення і договорів про </w:t>
            </w:r>
            <w:proofErr w:type="spellStart"/>
            <w:r w:rsidRPr="0042638E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42638E">
              <w:rPr>
                <w:rFonts w:ascii="Times New Roman" w:hAnsi="Times New Roman"/>
                <w:sz w:val="24"/>
                <w:szCs w:val="24"/>
              </w:rPr>
              <w:t>, про які стало відомо при виконанні покладених на відділ завдань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ормує і надає інформаційні довідки начальнику управління, керівництву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епартаменту та відповідним структурним підрозділам НСЗУ з питань, що </w:t>
            </w:r>
            <w:r>
              <w:rPr>
                <w:rFonts w:ascii="Times New Roman" w:hAnsi="Times New Roman"/>
                <w:sz w:val="24"/>
                <w:szCs w:val="24"/>
              </w:rPr>
              <w:t>належать до компетенції відділу;</w:t>
            </w:r>
          </w:p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вітує про свою діяльність начальнику управлін</w:t>
            </w:r>
            <w:r>
              <w:rPr>
                <w:rFonts w:ascii="Times New Roman" w:hAnsi="Times New Roman"/>
                <w:sz w:val="24"/>
                <w:szCs w:val="24"/>
              </w:rPr>
              <w:t>ня та керівництву Департаменту;</w:t>
            </w:r>
          </w:p>
          <w:p w:rsidR="00EC0DB1" w:rsidRDefault="00EC0DB1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пільно з відповідними структурними підрозділами НСЗУ здійснює розгляд адвокатських запитів, запитів депутатів, </w:t>
            </w:r>
            <w:r w:rsidRPr="004263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запитів на отримання публічної інформації, звернень громадян, юридичних осіб та фізичних осіб – підприємців, органів державної влади, органів місцевого самоврядування, підприємств, установ, організацій з питань, що </w:t>
            </w:r>
            <w:r>
              <w:rPr>
                <w:rFonts w:ascii="Times New Roman" w:hAnsi="Times New Roman"/>
                <w:sz w:val="24"/>
                <w:szCs w:val="24"/>
              </w:rPr>
              <w:t>належать до компетенції відділу;</w:t>
            </w:r>
          </w:p>
          <w:p w:rsidR="00EC0DB1" w:rsidRPr="00EC0DB1" w:rsidRDefault="00EC0DB1" w:rsidP="00EC0DB1">
            <w:pPr>
              <w:pStyle w:val="a4"/>
              <w:numPr>
                <w:ilvl w:val="2"/>
                <w:numId w:val="5"/>
              </w:numPr>
              <w:tabs>
                <w:tab w:val="left" w:pos="246"/>
              </w:tabs>
              <w:spacing w:after="0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DB1">
              <w:rPr>
                <w:rFonts w:ascii="Times New Roman" w:hAnsi="Times New Roman"/>
                <w:sz w:val="24"/>
                <w:szCs w:val="24"/>
              </w:rPr>
              <w:t xml:space="preserve"> у межах компетенції: </w:t>
            </w:r>
          </w:p>
          <w:p w:rsidR="00EC0DB1" w:rsidRDefault="00EC0DB1" w:rsidP="008673EB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after="0"/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здійснює інформування населення регіону про реалізацію програми медичних гарантій, організовує роз’яснювальну роботу, пов’язану з практикою застосування законодавства з питань, що належать до компетенції НСЗУ; </w:t>
            </w:r>
          </w:p>
          <w:p w:rsidR="00EC0DB1" w:rsidRDefault="00EC0DB1" w:rsidP="008673EB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after="0"/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забезпечує створення можливості для реалізації пацієнтами їх прав шляхом надання роз’яснень стосовно програми медичних гарантій, діяльності контрагентів НСЗУ, лікарів, що працюють у таких контрагентів; </w:t>
            </w:r>
          </w:p>
          <w:p w:rsidR="00EC0DB1" w:rsidRPr="00E5548D" w:rsidRDefault="00EC0DB1" w:rsidP="008673EB">
            <w:pPr>
              <w:pStyle w:val="a4"/>
              <w:numPr>
                <w:ilvl w:val="0"/>
                <w:numId w:val="9"/>
              </w:numPr>
              <w:tabs>
                <w:tab w:val="left" w:pos="1701"/>
              </w:tabs>
              <w:spacing w:after="0"/>
              <w:ind w:left="254" w:hanging="284"/>
              <w:jc w:val="both"/>
              <w:rPr>
                <w:color w:val="000000"/>
                <w:sz w:val="24"/>
                <w:szCs w:val="24"/>
              </w:rPr>
            </w:pPr>
            <w:r w:rsidRPr="0042638E">
              <w:rPr>
                <w:rFonts w:ascii="Times New Roman" w:hAnsi="Times New Roman"/>
                <w:sz w:val="24"/>
                <w:szCs w:val="24"/>
              </w:rPr>
              <w:t xml:space="preserve">налагоджує та підтримує партнерські відносини з населенням та інститутами громадянського суспільства регіону для ефективного виконання завдань та функцій управління та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638E">
              <w:rPr>
                <w:rFonts w:ascii="Times New Roman" w:hAnsi="Times New Roman"/>
                <w:sz w:val="24"/>
                <w:szCs w:val="24"/>
              </w:rPr>
              <w:t>епартаменту і під</w:t>
            </w:r>
            <w:r>
              <w:rPr>
                <w:rFonts w:ascii="Times New Roman" w:hAnsi="Times New Roman"/>
                <w:sz w:val="24"/>
                <w:szCs w:val="24"/>
              </w:rPr>
              <w:t>вищення довіри населення до них</w:t>
            </w:r>
          </w:p>
        </w:tc>
      </w:tr>
      <w:tr w:rsidR="00B3279F" w:rsidRPr="00ED5991" w:rsidTr="002441E2">
        <w:trPr>
          <w:trHeight w:val="1977"/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57" w:type="pct"/>
          </w:tcPr>
          <w:p w:rsidR="00B3279F" w:rsidRPr="00DF68CA" w:rsidRDefault="00B3279F" w:rsidP="00647A89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DF68CA">
              <w:t xml:space="preserve">– </w:t>
            </w:r>
            <w:r w:rsidR="00DF68CA" w:rsidRPr="00DF68CA">
              <w:t>7</w:t>
            </w:r>
            <w:r w:rsidRPr="00DF68CA">
              <w:rPr>
                <w:color w:val="000000" w:themeColor="text1"/>
              </w:rPr>
              <w:t> </w:t>
            </w:r>
            <w:r w:rsidR="00DF68CA" w:rsidRPr="00DF68CA">
              <w:rPr>
                <w:color w:val="000000" w:themeColor="text1"/>
              </w:rPr>
              <w:t>0</w:t>
            </w:r>
            <w:r w:rsidRPr="00DF68CA">
              <w:rPr>
                <w:color w:val="000000" w:themeColor="text1"/>
              </w:rPr>
              <w:t>50 грн;</w:t>
            </w:r>
          </w:p>
          <w:p w:rsidR="00B3279F" w:rsidRDefault="00B3279F" w:rsidP="00647A89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B3279F" w:rsidRPr="00FD11AB" w:rsidRDefault="00B3279F" w:rsidP="00647A89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B3279F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57" w:type="pct"/>
          </w:tcPr>
          <w:p w:rsidR="00B3279F" w:rsidRDefault="00B3279F" w:rsidP="00647A89">
            <w:pPr>
              <w:spacing w:line="240" w:lineRule="auto"/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B3279F" w:rsidRPr="00ED5915" w:rsidRDefault="00B3279F" w:rsidP="00647A89">
            <w:pPr>
              <w:spacing w:line="240" w:lineRule="auto"/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B3279F" w:rsidRPr="00ED5991" w:rsidRDefault="00B3279F" w:rsidP="00647A89">
            <w:pPr>
              <w:pStyle w:val="rvps14"/>
              <w:spacing w:before="0" w:beforeAutospacing="0" w:after="0" w:afterAutospacing="0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57" w:type="pct"/>
          </w:tcPr>
          <w:p w:rsidR="00DF68CA" w:rsidRPr="00416ED7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F68CA" w:rsidRPr="00416ED7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DF68CA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заява, в якій особа повідомляє, що до неї не застосовуються заборони, визначені частиною третьою або четвертою статті 1 Закону України “Про очищення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>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наченого Закону; </w:t>
            </w:r>
          </w:p>
          <w:p w:rsidR="00DF68CA" w:rsidRDefault="00060572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68CA">
              <w:rPr>
                <w:rFonts w:ascii="Times New Roman" w:hAnsi="Times New Roman"/>
                <w:sz w:val="24"/>
                <w:szCs w:val="24"/>
              </w:rPr>
              <w:t>одача додатків до заяви не є обов’язковою.</w:t>
            </w:r>
          </w:p>
          <w:p w:rsidR="00DF68CA" w:rsidRPr="00281173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F68CA" w:rsidRPr="00FB2759" w:rsidRDefault="00DF68CA" w:rsidP="00DF68CA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DF68CA" w:rsidRPr="00D3154A" w:rsidRDefault="00DF68CA" w:rsidP="00DF68CA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DF68CA" w:rsidRPr="00FB2759" w:rsidRDefault="00DF68CA" w:rsidP="00DF68CA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DF68CA" w:rsidRPr="00D3154A" w:rsidRDefault="00DF68CA" w:rsidP="009438C2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17</w:t>
            </w:r>
            <w:r>
              <w:t> </w:t>
            </w:r>
            <w:r w:rsidRPr="00685A94">
              <w:t>год 00</w:t>
            </w:r>
            <w:r>
              <w:t> </w:t>
            </w:r>
            <w:r w:rsidRPr="00685A94">
              <w:t xml:space="preserve">хв </w:t>
            </w:r>
            <w:r>
              <w:t>2</w:t>
            </w:r>
            <w:r w:rsidR="009438C2">
              <w:t>6</w:t>
            </w:r>
            <w:r w:rsidRPr="00685A94">
              <w:t xml:space="preserve"> </w:t>
            </w:r>
            <w:r>
              <w:t>жовтня</w:t>
            </w:r>
            <w:r w:rsidRPr="00685A94">
              <w:t xml:space="preserve">                      2021 року</w:t>
            </w:r>
          </w:p>
        </w:tc>
      </w:tr>
      <w:tr w:rsidR="00B3279F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57" w:type="pct"/>
          </w:tcPr>
          <w:p w:rsidR="00B3279F" w:rsidRPr="00D3154A" w:rsidRDefault="00B3279F" w:rsidP="00647A89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38C2">
              <w:rPr>
                <w:sz w:val="24"/>
                <w:szCs w:val="24"/>
              </w:rPr>
              <w:t>8</w:t>
            </w:r>
            <w:r w:rsidRPr="00685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жовтня</w:t>
            </w:r>
            <w:r w:rsidRPr="00685A94">
              <w:rPr>
                <w:sz w:val="24"/>
                <w:szCs w:val="24"/>
              </w:rPr>
              <w:t xml:space="preserve"> 2021 року о 10 год 00 хв.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DF68CA" w:rsidRDefault="00DF68CA" w:rsidP="00DF68C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F68CA" w:rsidRPr="00D3154A" w:rsidRDefault="00DF68CA" w:rsidP="00DF68C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cs="Times New Roman"/>
                <w:sz w:val="24"/>
                <w:szCs w:val="24"/>
              </w:rPr>
              <w:t xml:space="preserve"> співбесіди </w:t>
            </w: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cs="Times New Roman"/>
                <w:sz w:val="24"/>
                <w:szCs w:val="24"/>
              </w:rPr>
              <w:t>дистанційно</w:t>
            </w:r>
            <w:r w:rsidRPr="00D3154A">
              <w:rPr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>) або за фізичної присутності кандидата (м. Київ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просп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. Степана Бандери, 19).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Інформацію щодо зазначеного формату зустрічі буде </w:t>
            </w:r>
            <w:r w:rsidRPr="00D3154A">
              <w:rPr>
                <w:rFonts w:cs="Times New Roman"/>
                <w:bCs/>
                <w:sz w:val="24"/>
                <w:szCs w:val="24"/>
              </w:rPr>
              <w:t>надано додатково.</w:t>
            </w:r>
          </w:p>
          <w:p w:rsidR="00DF68CA" w:rsidRPr="00FA2152" w:rsidRDefault="00DF68CA" w:rsidP="00DF68CA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57" w:type="pct"/>
          </w:tcPr>
          <w:p w:rsidR="002A52CA" w:rsidRPr="00F679DA" w:rsidRDefault="002A52CA" w:rsidP="002A52CA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DF68CA" w:rsidRPr="00ED5991" w:rsidRDefault="00DF68CA" w:rsidP="00DF68CA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DF68CA" w:rsidRPr="00DA0AC7" w:rsidRDefault="00DF68CA" w:rsidP="00DF68C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lastRenderedPageBreak/>
              <w:t>Кваліфікаційні вимоги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57" w:type="pct"/>
          </w:tcPr>
          <w:p w:rsidR="00DF68CA" w:rsidRPr="00DA0AC7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57" w:type="pct"/>
          </w:tcPr>
          <w:p w:rsidR="00DF68CA" w:rsidRPr="00DA0AC7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DF68CA" w:rsidRPr="00DA0AC7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  <w:p w:rsidR="00DF68CA" w:rsidRPr="00DA0AC7" w:rsidRDefault="00DF68CA" w:rsidP="00DF68CA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DF68CA" w:rsidRPr="00776ABE" w:rsidRDefault="00DF68CA" w:rsidP="00DF68C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DF68CA" w:rsidRPr="00776ABE" w:rsidRDefault="00DF68CA" w:rsidP="00DF68C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8CA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DF68CA" w:rsidRPr="00776ABE" w:rsidRDefault="00DF68CA" w:rsidP="00DF68CA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DF68CA" w:rsidRPr="00ED5991" w:rsidRDefault="00DF68CA" w:rsidP="00DF68CA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68CA" w:rsidRPr="00ED5991" w:rsidTr="002441E2">
        <w:trPr>
          <w:trHeight w:val="1339"/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57" w:type="pct"/>
          </w:tcPr>
          <w:p w:rsidR="00DF68CA" w:rsidRPr="00E42A3F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DF68CA" w:rsidRPr="00ED5991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68CA" w:rsidRPr="00ED5991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DF68CA" w:rsidRPr="00ED3784" w:rsidRDefault="00DF68CA" w:rsidP="00DF68CA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2441E2" w:rsidRPr="00ED5991" w:rsidTr="002441E2">
        <w:trPr>
          <w:tblCellSpacing w:w="22" w:type="dxa"/>
        </w:trPr>
        <w:tc>
          <w:tcPr>
            <w:tcW w:w="157" w:type="pct"/>
          </w:tcPr>
          <w:p w:rsidR="002441E2" w:rsidRPr="00ED5991" w:rsidRDefault="002441E2" w:rsidP="002441E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0" w:type="pct"/>
            <w:shd w:val="clear" w:color="auto" w:fill="auto"/>
          </w:tcPr>
          <w:p w:rsidR="002441E2" w:rsidRPr="00B604C1" w:rsidRDefault="002441E2" w:rsidP="002441E2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57" w:type="pct"/>
            <w:shd w:val="clear" w:color="auto" w:fill="auto"/>
          </w:tcPr>
          <w:p w:rsidR="002441E2" w:rsidRPr="00345704" w:rsidRDefault="002441E2" w:rsidP="002441E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Знання:</w:t>
            </w:r>
          </w:p>
          <w:p w:rsidR="002441E2" w:rsidRPr="00345704" w:rsidRDefault="002441E2" w:rsidP="002441E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 w:rsidRPr="00345704">
              <w:rPr>
                <w:sz w:val="24"/>
                <w:szCs w:val="24"/>
                <w:lang w:eastAsia="ru-RU"/>
              </w:rPr>
              <w:t xml:space="preserve">Закону України </w:t>
            </w:r>
            <w:r w:rsidRPr="00345704">
              <w:rPr>
                <w:sz w:val="24"/>
                <w:szCs w:val="24"/>
                <w:lang w:val="ru-RU" w:eastAsia="ru-RU"/>
              </w:rPr>
              <w:t>“</w:t>
            </w:r>
            <w:r w:rsidRPr="00345704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345704">
              <w:rPr>
                <w:sz w:val="24"/>
                <w:szCs w:val="24"/>
                <w:lang w:val="ru-RU" w:eastAsia="ru-RU"/>
              </w:rPr>
              <w:t>”</w:t>
            </w:r>
            <w:r w:rsidRPr="00345704">
              <w:rPr>
                <w:sz w:val="24"/>
                <w:szCs w:val="24"/>
                <w:lang w:eastAsia="ru-RU"/>
              </w:rPr>
              <w:t>;</w:t>
            </w:r>
          </w:p>
          <w:p w:rsidR="002441E2" w:rsidRPr="00345704" w:rsidRDefault="002441E2" w:rsidP="002441E2">
            <w:pPr>
              <w:spacing w:line="240" w:lineRule="auto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 xml:space="preserve"> Постанови Кабінету Міністрів України від 27.12.2017 </w:t>
            </w:r>
            <w:r w:rsidRPr="00345704">
              <w:rPr>
                <w:sz w:val="24"/>
                <w:szCs w:val="24"/>
              </w:rPr>
              <w:br/>
              <w:t>№ 1101 “Про утворення Національної служби здоров’я України”;</w:t>
            </w:r>
          </w:p>
          <w:p w:rsidR="002441E2" w:rsidRDefault="002441E2" w:rsidP="002441E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Постанови Кабінету Міністрів України від 25.04.2018                № 410 “Про договори про медичне обслуговування населення за програмою медичних гарантій”;</w:t>
            </w:r>
          </w:p>
          <w:p w:rsidR="002441E2" w:rsidRDefault="002441E2" w:rsidP="002441E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Постанови Кабінету Міністрів України від 25.04.2018             № 411 “Деякі питання електронної системи охорони здоров’я”;</w:t>
            </w:r>
          </w:p>
          <w:p w:rsidR="002441E2" w:rsidRDefault="002441E2" w:rsidP="002441E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61D19">
              <w:rPr>
                <w:sz w:val="24"/>
                <w:szCs w:val="24"/>
                <w:lang w:eastAsia="ru-RU"/>
              </w:rPr>
              <w:t>- Постанов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A61D19">
              <w:rPr>
                <w:sz w:val="24"/>
                <w:szCs w:val="24"/>
                <w:lang w:eastAsia="ru-RU"/>
              </w:rPr>
              <w:t xml:space="preserve"> Кабінету Міністрів України від 28.03.2018</w:t>
            </w:r>
            <w:r>
              <w:rPr>
                <w:sz w:val="24"/>
                <w:szCs w:val="24"/>
                <w:lang w:eastAsia="ru-RU"/>
              </w:rPr>
              <w:t xml:space="preserve">                   </w:t>
            </w:r>
            <w:r w:rsidRPr="00A61D19">
              <w:rPr>
                <w:sz w:val="24"/>
                <w:szCs w:val="24"/>
                <w:lang w:eastAsia="ru-RU"/>
              </w:rPr>
              <w:t xml:space="preserve"> № 391 “Про затвердження вимог до надавача послуг з медичного обслуговування населення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A61D19">
              <w:rPr>
                <w:sz w:val="24"/>
                <w:szCs w:val="24"/>
                <w:lang w:eastAsia="ru-RU"/>
              </w:rPr>
              <w:t xml:space="preserve"> з яким головними розпорядниками бюджетних коштів укладаються догов</w:t>
            </w:r>
            <w:r>
              <w:rPr>
                <w:sz w:val="24"/>
                <w:szCs w:val="24"/>
                <w:lang w:eastAsia="ru-RU"/>
              </w:rPr>
              <w:t xml:space="preserve">ори про медичне обслуговування </w:t>
            </w:r>
            <w:r w:rsidRPr="00A61D19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A61D19">
              <w:rPr>
                <w:sz w:val="24"/>
                <w:szCs w:val="24"/>
                <w:lang w:eastAsia="ru-RU"/>
              </w:rPr>
              <w:t>селення”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441E2" w:rsidRPr="00345704" w:rsidRDefault="002441E2" w:rsidP="002441E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Постанови Кабінету Міністрів України від 27.02.2019             № 136 “Деякі питання щодо договорів про </w:t>
            </w:r>
            <w:proofErr w:type="spellStart"/>
            <w:r>
              <w:rPr>
                <w:sz w:val="24"/>
                <w:szCs w:val="24"/>
              </w:rPr>
              <w:t>реімбурсацію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DF68CA" w:rsidRPr="00ED5991" w:rsidTr="00655A8E">
        <w:trPr>
          <w:trHeight w:val="1247"/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  <w:shd w:val="clear" w:color="auto" w:fill="auto"/>
          </w:tcPr>
          <w:p w:rsidR="00DF68CA" w:rsidRPr="00776ABE" w:rsidRDefault="002441E2" w:rsidP="00DF68CA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3637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роботи з договорами </w:t>
            </w:r>
            <w:r w:rsidR="00655A8E">
              <w:rPr>
                <w:rFonts w:cs="Times New Roman"/>
                <w:color w:val="000000"/>
                <w:sz w:val="24"/>
                <w:szCs w:val="24"/>
              </w:rPr>
              <w:t>про медичне обслуговування населення</w:t>
            </w:r>
          </w:p>
        </w:tc>
        <w:tc>
          <w:tcPr>
            <w:tcW w:w="3057" w:type="pct"/>
            <w:shd w:val="clear" w:color="auto" w:fill="auto"/>
          </w:tcPr>
          <w:p w:rsidR="00DF68CA" w:rsidRPr="00776ABE" w:rsidRDefault="002441E2" w:rsidP="00DF68C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637E">
              <w:rPr>
                <w:sz w:val="24"/>
                <w:szCs w:val="24"/>
              </w:rPr>
              <w:t xml:space="preserve">Забезпечення </w:t>
            </w:r>
            <w:r>
              <w:rPr>
                <w:sz w:val="24"/>
                <w:szCs w:val="24"/>
              </w:rPr>
              <w:t xml:space="preserve">здійснення підготовчої роботи для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укладання, зміни та припинення договорів про 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>медичн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 xml:space="preserve"> обслуговування населення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та договорів про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регіоні</w:t>
            </w:r>
            <w:bookmarkStart w:id="0" w:name="_GoBack"/>
            <w:bookmarkEnd w:id="0"/>
          </w:p>
        </w:tc>
      </w:tr>
    </w:tbl>
    <w:p w:rsidR="00B3279F" w:rsidRDefault="00B3279F" w:rsidP="00B3279F"/>
    <w:p w:rsidR="00B3279F" w:rsidRDefault="00B3279F" w:rsidP="00B3279F"/>
    <w:p w:rsidR="00B3279F" w:rsidRDefault="00B3279F" w:rsidP="00B3279F"/>
    <w:p w:rsidR="00B3279F" w:rsidRPr="00FC5949" w:rsidRDefault="00B3279F" w:rsidP="00B3279F">
      <w:pPr>
        <w:rPr>
          <w:rFonts w:cs="Times New Roman"/>
          <w:sz w:val="24"/>
          <w:szCs w:val="24"/>
        </w:rPr>
      </w:pPr>
    </w:p>
    <w:p w:rsidR="00B3279F" w:rsidRDefault="00B3279F" w:rsidP="00B3279F"/>
    <w:p w:rsidR="00B3279F" w:rsidRDefault="00B3279F" w:rsidP="00B3279F"/>
    <w:p w:rsidR="00D465EF" w:rsidRDefault="00060572"/>
    <w:sectPr w:rsidR="00D465EF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EAA"/>
    <w:multiLevelType w:val="multilevel"/>
    <w:tmpl w:val="43B015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413BD7"/>
    <w:multiLevelType w:val="hybridMultilevel"/>
    <w:tmpl w:val="B47223AE"/>
    <w:lvl w:ilvl="0" w:tplc="0422000D">
      <w:start w:val="1"/>
      <w:numFmt w:val="bullet"/>
      <w:lvlText w:val=""/>
      <w:lvlJc w:val="left"/>
      <w:pPr>
        <w:ind w:left="101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1B5842BE"/>
    <w:multiLevelType w:val="multilevel"/>
    <w:tmpl w:val="47AABE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BA51BB"/>
    <w:multiLevelType w:val="hybridMultilevel"/>
    <w:tmpl w:val="548E332A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C3B3EAE"/>
    <w:multiLevelType w:val="multilevel"/>
    <w:tmpl w:val="45A2D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252FEA"/>
    <w:multiLevelType w:val="hybridMultilevel"/>
    <w:tmpl w:val="28D2757A"/>
    <w:lvl w:ilvl="0" w:tplc="0422000D">
      <w:start w:val="1"/>
      <w:numFmt w:val="bullet"/>
      <w:lvlText w:val=""/>
      <w:lvlJc w:val="left"/>
      <w:pPr>
        <w:ind w:left="96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8" w15:restartNumberingAfterBreak="0">
    <w:nsid w:val="63C36BC4"/>
    <w:multiLevelType w:val="hybridMultilevel"/>
    <w:tmpl w:val="8276502E"/>
    <w:lvl w:ilvl="0" w:tplc="0422000D">
      <w:start w:val="1"/>
      <w:numFmt w:val="bullet"/>
      <w:lvlText w:val=""/>
      <w:lvlJc w:val="left"/>
      <w:pPr>
        <w:ind w:left="1018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3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F"/>
    <w:rsid w:val="00060572"/>
    <w:rsid w:val="0007162C"/>
    <w:rsid w:val="000A2BA8"/>
    <w:rsid w:val="002441E2"/>
    <w:rsid w:val="002A52CA"/>
    <w:rsid w:val="00655A8E"/>
    <w:rsid w:val="00655AC2"/>
    <w:rsid w:val="008673EB"/>
    <w:rsid w:val="009438C2"/>
    <w:rsid w:val="00A95409"/>
    <w:rsid w:val="00B3279F"/>
    <w:rsid w:val="00B67686"/>
    <w:rsid w:val="00B725A4"/>
    <w:rsid w:val="00B94EAC"/>
    <w:rsid w:val="00BD27FA"/>
    <w:rsid w:val="00BE1923"/>
    <w:rsid w:val="00BF4F03"/>
    <w:rsid w:val="00DF68CA"/>
    <w:rsid w:val="00EC0DB1"/>
    <w:rsid w:val="00E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032"/>
  <w15:chartTrackingRefBased/>
  <w15:docId w15:val="{478D151C-9485-45A1-86AE-F045A1D3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9F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B32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B3279F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B3279F"/>
  </w:style>
  <w:style w:type="paragraph" w:customStyle="1" w:styleId="rvps14">
    <w:name w:val="rvps14"/>
    <w:basedOn w:val="a"/>
    <w:uiPriority w:val="99"/>
    <w:rsid w:val="00B3279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3279F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B3279F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409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C0DB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6748</Words>
  <Characters>3847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12</cp:revision>
  <cp:lastPrinted>2021-10-01T13:45:00Z</cp:lastPrinted>
  <dcterms:created xsi:type="dcterms:W3CDTF">2021-09-30T07:01:00Z</dcterms:created>
  <dcterms:modified xsi:type="dcterms:W3CDTF">2021-10-19T15:45:00Z</dcterms:modified>
</cp:coreProperties>
</file>