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B2F3A" w:rsidRPr="00ED5991" w:rsidTr="009256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2F3A" w:rsidRPr="008D2996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EB2F3A" w:rsidRPr="00ED5991" w:rsidRDefault="00EB2F3A" w:rsidP="001F335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від</w:t>
            </w:r>
            <w:r w:rsidR="002D19EB">
              <w:rPr>
                <w:color w:val="000000"/>
                <w:sz w:val="24"/>
                <w:szCs w:val="24"/>
              </w:rPr>
              <w:t xml:space="preserve"> </w:t>
            </w:r>
            <w:r w:rsidR="00E74326">
              <w:rPr>
                <w:color w:val="000000"/>
                <w:sz w:val="24"/>
                <w:szCs w:val="24"/>
              </w:rPr>
              <w:t>1</w:t>
            </w:r>
            <w:r w:rsidR="001F3350">
              <w:rPr>
                <w:color w:val="000000"/>
                <w:sz w:val="24"/>
                <w:szCs w:val="24"/>
              </w:rPr>
              <w:t>9</w:t>
            </w:r>
            <w:r w:rsidR="00E74326">
              <w:rPr>
                <w:color w:val="000000"/>
                <w:sz w:val="24"/>
                <w:szCs w:val="24"/>
              </w:rPr>
              <w:t>.</w:t>
            </w:r>
            <w:r w:rsidR="000C09E7">
              <w:rPr>
                <w:color w:val="000000"/>
                <w:sz w:val="24"/>
                <w:szCs w:val="24"/>
              </w:rPr>
              <w:t>1</w:t>
            </w:r>
            <w:r w:rsidR="002D19EB">
              <w:rPr>
                <w:color w:val="000000"/>
                <w:sz w:val="24"/>
                <w:szCs w:val="24"/>
              </w:rPr>
              <w:t>1</w:t>
            </w:r>
            <w:r w:rsidR="000C09E7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>№</w:t>
            </w:r>
            <w:r w:rsidR="0032335C">
              <w:rPr>
                <w:sz w:val="24"/>
                <w:szCs w:val="24"/>
              </w:rPr>
              <w:t xml:space="preserve"> </w:t>
            </w:r>
            <w:r w:rsidR="00A93902">
              <w:rPr>
                <w:sz w:val="24"/>
                <w:szCs w:val="24"/>
              </w:rPr>
              <w:t xml:space="preserve">798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EB2F3A" w:rsidRPr="00ED5991" w:rsidRDefault="00EB2F3A" w:rsidP="00EB2F3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EB2F3A" w:rsidRPr="007833C5" w:rsidRDefault="00EB2F3A" w:rsidP="00334A5E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EB2F3A" w:rsidRDefault="00EB2F3A" w:rsidP="00334A5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7833C5">
        <w:rPr>
          <w:rFonts w:ascii="Times New Roman" w:hAnsi="Times New Roman"/>
          <w:sz w:val="24"/>
          <w:szCs w:val="24"/>
        </w:rPr>
        <w:t>“Б” –</w:t>
      </w:r>
    </w:p>
    <w:p w:rsidR="00E74326" w:rsidRPr="00E74326" w:rsidRDefault="00E74326" w:rsidP="00334A5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74326">
        <w:rPr>
          <w:rFonts w:ascii="Times New Roman" w:hAnsi="Times New Roman"/>
          <w:sz w:val="24"/>
          <w:szCs w:val="24"/>
        </w:rPr>
        <w:t>начальника Відділу з питань запобігання та виявлення корупції</w:t>
      </w:r>
      <w:bookmarkStart w:id="0" w:name="_GoBack"/>
      <w:bookmarkEnd w:id="0"/>
    </w:p>
    <w:p w:rsidR="00BE0602" w:rsidRPr="00FB2759" w:rsidRDefault="00BE0602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80"/>
        <w:gridCol w:w="6340"/>
      </w:tblGrid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ED5991" w:rsidRDefault="00EB2F3A" w:rsidP="009256A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E74326" w:rsidRPr="00ED5991" w:rsidTr="00E74326">
        <w:trPr>
          <w:trHeight w:val="1043"/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80" w:type="pct"/>
            <w:shd w:val="clear" w:color="auto" w:fill="auto"/>
          </w:tcPr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рганізація роботи з оцінки корупційних ризиків у діяльності НСЗУ, підготовки заходів щодо їх усунення, внесення Голові НСЗУ відповідних пропозицій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адання методичної та консультаційної допомоги з питань додержання законодавства щ</w:t>
            </w:r>
            <w:r>
              <w:rPr>
                <w:rFonts w:ascii="Times New Roman" w:hAnsi="Times New Roman"/>
                <w:sz w:val="24"/>
                <w:szCs w:val="24"/>
              </w:rPr>
              <w:t>одо запобігання корупції в НСЗУ;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дійснення заходів з виявлення конфлікту інтересів, сприяння його врегулюванню, інформування Голови НСЗУ та Національного агентства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 xml:space="preserve">з питань запобігання корупції </w:t>
            </w:r>
            <w:r w:rsidRPr="00E0538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далі – Національне агентство) 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про виявлення конфлікту інтересів та заходи, вжиті для його врегулювання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еревірка факту подання суб</w:t>
            </w:r>
            <w:r w:rsidR="00F55DE9">
              <w:rPr>
                <w:rFonts w:ascii="Times New Roman" w:hAnsi="Times New Roman"/>
                <w:sz w:val="24"/>
                <w:szCs w:val="24"/>
              </w:rPr>
              <w:t>’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 xml:space="preserve">єктами декларування, які працюють у НСЗУ,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</w:t>
            </w:r>
            <w:r w:rsidR="00F55DE9" w:rsidRPr="00F55DE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Про запобігання к</w:t>
            </w:r>
            <w:r>
              <w:rPr>
                <w:rFonts w:ascii="Times New Roman" w:hAnsi="Times New Roman"/>
                <w:sz w:val="24"/>
                <w:szCs w:val="24"/>
              </w:rPr>
              <w:t>орупції</w:t>
            </w:r>
            <w:r w:rsidR="00F55DE9" w:rsidRPr="00F55DE9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(далі – Закон) порядку;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 xml:space="preserve">дійснення контролю за дотриманням </w:t>
            </w:r>
            <w:r>
              <w:rPr>
                <w:rFonts w:ascii="Times New Roman" w:hAnsi="Times New Roman"/>
                <w:sz w:val="24"/>
                <w:szCs w:val="24"/>
              </w:rPr>
              <w:t>антикорупційного законодавства в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 xml:space="preserve">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озгляд повідомлень про порушення вимог З</w:t>
            </w:r>
            <w:r>
              <w:rPr>
                <w:rFonts w:ascii="Times New Roman" w:hAnsi="Times New Roman"/>
                <w:sz w:val="24"/>
                <w:szCs w:val="24"/>
              </w:rPr>
              <w:t>акону у НСЗУ;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дійснення повноважень у сфері захисту викривачів відповідно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Закону;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нформування Голови НСЗУ, Національного агентства або інших спеціально уповноважених суб</w:t>
            </w:r>
            <w:r w:rsidR="00F55DE9">
              <w:rPr>
                <w:rFonts w:ascii="Times New Roman" w:hAnsi="Times New Roman"/>
                <w:sz w:val="24"/>
                <w:szCs w:val="24"/>
              </w:rPr>
              <w:t>’</w:t>
            </w:r>
            <w:r w:rsidRPr="00A20126">
              <w:rPr>
                <w:rFonts w:ascii="Times New Roman" w:hAnsi="Times New Roman"/>
                <w:sz w:val="24"/>
                <w:szCs w:val="24"/>
              </w:rPr>
              <w:t>єктів у сфері протидії корупції у випадках, передбачених законодавством, про факти порушення законодавства у сфері запобігання і протидії корупції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071F">
              <w:rPr>
                <w:rFonts w:ascii="Times New Roman" w:hAnsi="Times New Roman"/>
                <w:sz w:val="24"/>
                <w:szCs w:val="24"/>
              </w:rPr>
              <w:t>алучення до проведення службових розслідувань у сфері порушень законодавства щодо охорони державної таємниці т</w:t>
            </w:r>
            <w:r>
              <w:rPr>
                <w:rFonts w:ascii="Times New Roman" w:hAnsi="Times New Roman"/>
                <w:sz w:val="24"/>
                <w:szCs w:val="24"/>
              </w:rPr>
              <w:t>а технічного захисту інформації;</w:t>
            </w:r>
          </w:p>
          <w:p w:rsidR="00E74326" w:rsidRDefault="00E74326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835">
              <w:rPr>
                <w:rFonts w:ascii="Times New Roman" w:hAnsi="Times New Roman"/>
                <w:sz w:val="24"/>
                <w:szCs w:val="24"/>
              </w:rPr>
              <w:t xml:space="preserve">проведення антикорупційної експертизи </w:t>
            </w:r>
            <w:proofErr w:type="spellStart"/>
            <w:r w:rsidRPr="00781835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781835">
              <w:rPr>
                <w:rFonts w:ascii="Times New Roman" w:hAnsi="Times New Roman"/>
                <w:sz w:val="24"/>
                <w:szCs w:val="24"/>
              </w:rPr>
              <w:t xml:space="preserve"> нормативно-правових та організаційно-розпорядчих документів щодо планування заходів мобілізаційної підготовки або мобілізаційного плану, а також відомостей про порядок їх фінансування</w:t>
            </w:r>
            <w:r w:rsidR="00180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017C" w:rsidRPr="00A75470" w:rsidRDefault="0018017C" w:rsidP="00E74326">
            <w:pPr>
              <w:pStyle w:val="a4"/>
              <w:numPr>
                <w:ilvl w:val="0"/>
                <w:numId w:val="11"/>
              </w:numPr>
              <w:tabs>
                <w:tab w:val="left" w:pos="402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27055">
              <w:rPr>
                <w:rFonts w:ascii="Times New Roman" w:hAnsi="Times New Roman"/>
                <w:sz w:val="24"/>
                <w:szCs w:val="24"/>
              </w:rPr>
              <w:t xml:space="preserve">абезпечення своєчасності і повноти виконання </w:t>
            </w:r>
            <w:r>
              <w:rPr>
                <w:rFonts w:ascii="Times New Roman" w:hAnsi="Times New Roman"/>
                <w:sz w:val="24"/>
                <w:szCs w:val="24"/>
              </w:rPr>
              <w:t>функцій Відділу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80" w:type="pct"/>
          </w:tcPr>
          <w:p w:rsidR="00E74326" w:rsidRPr="00F5182D" w:rsidRDefault="00E74326" w:rsidP="0048535C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1" w:hanging="181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="001B11A0">
              <w:rPr>
                <w:color w:val="000000" w:themeColor="text1"/>
              </w:rPr>
              <w:t>12 5</w:t>
            </w:r>
            <w:r w:rsidRPr="0032335C">
              <w:rPr>
                <w:color w:val="000000" w:themeColor="text1"/>
              </w:rPr>
              <w:t>00 грн</w:t>
            </w:r>
            <w:r w:rsidRPr="00F5182D">
              <w:rPr>
                <w:color w:val="000000" w:themeColor="text1"/>
              </w:rPr>
              <w:t>;</w:t>
            </w:r>
          </w:p>
          <w:p w:rsidR="00E74326" w:rsidRDefault="00E74326" w:rsidP="0048535C">
            <w:pPr>
              <w:numPr>
                <w:ilvl w:val="0"/>
                <w:numId w:val="1"/>
              </w:numPr>
              <w:spacing w:line="240" w:lineRule="auto"/>
              <w:ind w:left="181" w:right="113" w:hanging="181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E74326" w:rsidRPr="00FD11AB" w:rsidRDefault="00E74326" w:rsidP="0048535C">
            <w:pPr>
              <w:numPr>
                <w:ilvl w:val="0"/>
                <w:numId w:val="1"/>
              </w:numPr>
              <w:spacing w:line="240" w:lineRule="auto"/>
              <w:ind w:left="181" w:right="113" w:hanging="181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lastRenderedPageBreak/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1E559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80" w:type="pct"/>
          </w:tcPr>
          <w:p w:rsidR="00E74326" w:rsidRDefault="00E74326" w:rsidP="001E5594">
            <w:pPr>
              <w:spacing w:line="240" w:lineRule="auto"/>
              <w:ind w:firstLine="1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E74326" w:rsidRPr="00ED5915" w:rsidRDefault="00E74326" w:rsidP="001E5594">
            <w:pPr>
              <w:spacing w:line="240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E74326" w:rsidRDefault="00E74326" w:rsidP="001E5594">
            <w:pPr>
              <w:pStyle w:val="rvps14"/>
              <w:spacing w:before="0" w:beforeAutospacing="0" w:after="0" w:afterAutospacing="0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F423B4" w:rsidRPr="00ED5991" w:rsidRDefault="00F423B4" w:rsidP="001E5594">
            <w:pPr>
              <w:pStyle w:val="rvps14"/>
              <w:spacing w:before="0" w:beforeAutospacing="0" w:after="0" w:afterAutospacing="0"/>
              <w:jc w:val="both"/>
            </w:pP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1E559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80" w:type="pct"/>
          </w:tcPr>
          <w:p w:rsidR="00E74326" w:rsidRPr="00416ED7" w:rsidRDefault="00E74326" w:rsidP="001E559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74326" w:rsidRPr="00416ED7" w:rsidRDefault="00E74326" w:rsidP="001E559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E74326" w:rsidRPr="00416ED7" w:rsidRDefault="00E74326" w:rsidP="001E559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E74326" w:rsidRPr="00416ED7" w:rsidRDefault="00E74326" w:rsidP="001E559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E74326" w:rsidRPr="00416ED7" w:rsidRDefault="00E74326" w:rsidP="001E559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74326" w:rsidRPr="00416ED7" w:rsidRDefault="00E74326" w:rsidP="001E559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E74326" w:rsidRDefault="00E74326" w:rsidP="001E559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E74326" w:rsidRDefault="00E74326" w:rsidP="001E559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E74326" w:rsidRPr="00281173" w:rsidRDefault="00E74326" w:rsidP="001E559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E74326" w:rsidRDefault="00E74326" w:rsidP="001E559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326" w:rsidRPr="00D3154A" w:rsidRDefault="00E74326" w:rsidP="001E5594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E74326" w:rsidRPr="00FB2759" w:rsidRDefault="00E74326" w:rsidP="001E5594">
            <w:pPr>
              <w:spacing w:line="240" w:lineRule="auto"/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E74326" w:rsidRPr="00D3154A" w:rsidRDefault="00E74326" w:rsidP="00480F44">
            <w:pPr>
              <w:pStyle w:val="rvps14"/>
              <w:spacing w:before="0" w:beforeAutospacing="0" w:after="0" w:afterAutospacing="0"/>
              <w:ind w:left="180"/>
              <w:jc w:val="both"/>
            </w:pPr>
            <w:r w:rsidRPr="00685A94">
              <w:t xml:space="preserve">Інформація приймається до </w:t>
            </w:r>
            <w:r w:rsidRPr="0032335C">
              <w:t xml:space="preserve">17 год 00 хв </w:t>
            </w:r>
            <w:r>
              <w:t>2</w:t>
            </w:r>
            <w:r w:rsidR="00480F44">
              <w:t>9</w:t>
            </w:r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80" w:type="pct"/>
          </w:tcPr>
          <w:p w:rsidR="00E74326" w:rsidRPr="00D3154A" w:rsidRDefault="00E74326" w:rsidP="00E74326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</w:t>
            </w:r>
            <w:r w:rsidRPr="00D3154A">
              <w:rPr>
                <w:sz w:val="24"/>
                <w:szCs w:val="24"/>
              </w:rPr>
              <w:lastRenderedPageBreak/>
              <w:t xml:space="preserve">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E74326" w:rsidRDefault="00E74326" w:rsidP="00F44B0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74326" w:rsidRPr="00ED5991" w:rsidRDefault="00E74326" w:rsidP="00F44B0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80" w:type="pct"/>
          </w:tcPr>
          <w:p w:rsidR="00E74326" w:rsidRPr="00D3154A" w:rsidRDefault="00E74326" w:rsidP="00F44B0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0F44">
              <w:rPr>
                <w:sz w:val="24"/>
                <w:szCs w:val="24"/>
              </w:rPr>
              <w:t>2</w:t>
            </w:r>
            <w:r w:rsidRPr="00E70B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грудня</w:t>
            </w:r>
            <w:r w:rsidRPr="00E70B3C">
              <w:rPr>
                <w:sz w:val="24"/>
                <w:szCs w:val="24"/>
              </w:rPr>
              <w:t xml:space="preserve"> 2021 року о 10 год 00 хв.</w:t>
            </w:r>
          </w:p>
          <w:p w:rsidR="00E74326" w:rsidRDefault="00E74326" w:rsidP="00F44B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74326" w:rsidRDefault="00E74326" w:rsidP="00F44B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E74326" w:rsidRPr="00D3154A" w:rsidRDefault="00E74326" w:rsidP="00F44B03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E74326" w:rsidRPr="00D3154A" w:rsidRDefault="00E74326" w:rsidP="00F44B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74326" w:rsidRDefault="00E74326" w:rsidP="00F44B03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74326" w:rsidRPr="00D3154A" w:rsidRDefault="00E74326" w:rsidP="00F44B03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74326" w:rsidRPr="00D3154A" w:rsidRDefault="00E74326" w:rsidP="00F44B0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E74326" w:rsidRPr="00D3154A" w:rsidRDefault="00E74326" w:rsidP="00F44B0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E74326" w:rsidRPr="00D3154A" w:rsidRDefault="00E74326" w:rsidP="00F44B03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F44B0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80" w:type="pct"/>
          </w:tcPr>
          <w:p w:rsidR="00E74326" w:rsidRPr="00F679DA" w:rsidRDefault="00E74326" w:rsidP="00F44B03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E74326" w:rsidRPr="00ED5991" w:rsidRDefault="00E74326" w:rsidP="00F44B03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4326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74326" w:rsidRPr="00DA0AC7" w:rsidRDefault="00E74326" w:rsidP="00E74326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7" w:type="pct"/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80" w:type="pct"/>
          </w:tcPr>
          <w:p w:rsidR="00E74326" w:rsidRPr="00DA0AC7" w:rsidRDefault="00E74326" w:rsidP="001A036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7" w:type="pct"/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80" w:type="pct"/>
          </w:tcPr>
          <w:p w:rsidR="00E74326" w:rsidRPr="00DA0AC7" w:rsidRDefault="00E74326" w:rsidP="001A036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7" w:type="pct"/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80" w:type="pct"/>
          </w:tcPr>
          <w:p w:rsidR="00E74326" w:rsidRPr="00DA0AC7" w:rsidRDefault="00E74326" w:rsidP="001A036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7" w:type="pct"/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80" w:type="pct"/>
          </w:tcPr>
          <w:p w:rsidR="00E74326" w:rsidRPr="00DA0AC7" w:rsidRDefault="00E74326" w:rsidP="001A0364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E74326" w:rsidRPr="00ED5991" w:rsidTr="009256A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E74326" w:rsidRPr="00776ABE" w:rsidRDefault="00E74326" w:rsidP="00E74326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E7432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80" w:type="pct"/>
          </w:tcPr>
          <w:p w:rsidR="00E74326" w:rsidRPr="00776ABE" w:rsidRDefault="00E74326" w:rsidP="00E7432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326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E74326" w:rsidRPr="00776ABE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E74326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74326" w:rsidRPr="00ED5991" w:rsidRDefault="00E74326" w:rsidP="00E74326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856" w:type="pct"/>
            <w:gridSpan w:val="2"/>
          </w:tcPr>
          <w:p w:rsidR="00E74326" w:rsidRPr="00ED5991" w:rsidRDefault="00E74326" w:rsidP="00E7432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80" w:type="pct"/>
          </w:tcPr>
          <w:p w:rsidR="00E74326" w:rsidRPr="00ED5991" w:rsidRDefault="00E74326" w:rsidP="00E7432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74326" w:rsidRPr="00ED5991" w:rsidTr="00E74326">
        <w:trPr>
          <w:trHeight w:val="1339"/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7" w:type="pct"/>
          </w:tcPr>
          <w:p w:rsidR="00E74326" w:rsidRPr="00ED5991" w:rsidRDefault="00E74326" w:rsidP="001A036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80" w:type="pct"/>
          </w:tcPr>
          <w:p w:rsidR="00E74326" w:rsidRPr="00E42A3F" w:rsidRDefault="00E74326" w:rsidP="001A036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E74326" w:rsidRPr="00ED5991" w:rsidRDefault="00E74326" w:rsidP="001A036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74326" w:rsidRPr="00ED5991" w:rsidRDefault="00E74326" w:rsidP="001A036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E74326" w:rsidRPr="00ED3784" w:rsidRDefault="00E74326" w:rsidP="001A036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7" w:type="pct"/>
            <w:shd w:val="clear" w:color="auto" w:fill="auto"/>
          </w:tcPr>
          <w:p w:rsidR="00E74326" w:rsidRPr="00B604C1" w:rsidRDefault="00E74326" w:rsidP="001A036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80" w:type="pct"/>
            <w:shd w:val="clear" w:color="auto" w:fill="auto"/>
          </w:tcPr>
          <w:p w:rsidR="00E74326" w:rsidRPr="00F90129" w:rsidRDefault="00E74326" w:rsidP="00F6158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90129">
              <w:rPr>
                <w:sz w:val="24"/>
                <w:szCs w:val="24"/>
                <w:lang w:eastAsia="ru-RU"/>
              </w:rPr>
              <w:t>Знання:</w:t>
            </w:r>
          </w:p>
          <w:p w:rsidR="00E74326" w:rsidRPr="00F90129" w:rsidRDefault="00E74326" w:rsidP="00F6158B">
            <w:pPr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90129">
              <w:rPr>
                <w:sz w:val="24"/>
                <w:szCs w:val="24"/>
                <w:lang w:eastAsia="ru-RU"/>
              </w:rPr>
              <w:t>-</w:t>
            </w:r>
            <w:r w:rsidRPr="00F90129">
              <w:rPr>
                <w:sz w:val="24"/>
                <w:szCs w:val="24"/>
                <w:lang w:eastAsia="ru-RU"/>
              </w:rPr>
              <w:tab/>
              <w:t>Закону України “Про державні фінансові гарантії медичного обслуговування населення”;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Закону України </w:t>
            </w:r>
            <w:r w:rsidR="002D0A74" w:rsidRPr="002D0A74">
              <w:rPr>
                <w:sz w:val="24"/>
                <w:szCs w:val="24"/>
                <w:lang w:val="ru-RU"/>
              </w:rPr>
              <w:t>“</w:t>
            </w:r>
            <w:r w:rsidRPr="00F90129">
              <w:rPr>
                <w:sz w:val="24"/>
                <w:szCs w:val="24"/>
              </w:rPr>
              <w:t>Про звернення громадян</w:t>
            </w:r>
            <w:r w:rsidR="002D0A74" w:rsidRPr="002D0A74">
              <w:rPr>
                <w:sz w:val="24"/>
                <w:szCs w:val="24"/>
                <w:lang w:val="ru-RU"/>
              </w:rPr>
              <w:t>”</w:t>
            </w:r>
            <w:r w:rsidRPr="00F90129">
              <w:rPr>
                <w:sz w:val="24"/>
                <w:szCs w:val="24"/>
              </w:rPr>
              <w:t>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Закону України </w:t>
            </w:r>
            <w:r w:rsidR="002D0A74" w:rsidRPr="002D0A74">
              <w:rPr>
                <w:sz w:val="24"/>
                <w:szCs w:val="24"/>
                <w:lang w:val="ru-RU"/>
              </w:rPr>
              <w:t>“</w:t>
            </w:r>
            <w:r w:rsidRPr="00F90129">
              <w:rPr>
                <w:sz w:val="24"/>
                <w:szCs w:val="24"/>
              </w:rPr>
              <w:t>Про очищення влади</w:t>
            </w:r>
            <w:r w:rsidR="002D0A74" w:rsidRPr="002D0A74">
              <w:rPr>
                <w:sz w:val="24"/>
                <w:szCs w:val="24"/>
                <w:lang w:val="ru-RU"/>
              </w:rPr>
              <w:t>”</w:t>
            </w:r>
            <w:r w:rsidRPr="00F90129">
              <w:rPr>
                <w:sz w:val="24"/>
                <w:szCs w:val="24"/>
              </w:rPr>
              <w:t>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Закону України </w:t>
            </w:r>
            <w:r w:rsidR="002D0A74" w:rsidRPr="002D0A74">
              <w:rPr>
                <w:sz w:val="24"/>
                <w:szCs w:val="24"/>
                <w:lang w:val="ru-RU"/>
              </w:rPr>
              <w:t>“</w:t>
            </w:r>
            <w:r w:rsidRPr="00F90129">
              <w:rPr>
                <w:sz w:val="24"/>
                <w:szCs w:val="24"/>
              </w:rPr>
              <w:t>Про доступ до публічної інформації</w:t>
            </w:r>
            <w:r w:rsidR="002D0A74" w:rsidRPr="002D0A74">
              <w:rPr>
                <w:sz w:val="24"/>
                <w:szCs w:val="24"/>
                <w:lang w:val="ru-RU"/>
              </w:rPr>
              <w:t>”</w:t>
            </w:r>
            <w:r w:rsidRPr="00F90129">
              <w:rPr>
                <w:sz w:val="24"/>
                <w:szCs w:val="24"/>
              </w:rPr>
              <w:t>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Закону України </w:t>
            </w:r>
            <w:r w:rsidR="002D0A74" w:rsidRPr="002D0A74">
              <w:rPr>
                <w:sz w:val="24"/>
                <w:szCs w:val="24"/>
                <w:lang w:val="ru-RU"/>
              </w:rPr>
              <w:t>“</w:t>
            </w:r>
            <w:r w:rsidRPr="00F90129">
              <w:rPr>
                <w:sz w:val="24"/>
                <w:szCs w:val="24"/>
              </w:rPr>
              <w:t>Про державну таємницю</w:t>
            </w:r>
            <w:r w:rsidR="002D0A74" w:rsidRPr="002D0A74">
              <w:rPr>
                <w:sz w:val="24"/>
                <w:szCs w:val="24"/>
                <w:lang w:val="ru-RU"/>
              </w:rPr>
              <w:t>”</w:t>
            </w:r>
            <w:r w:rsidRPr="00F90129">
              <w:rPr>
                <w:sz w:val="24"/>
                <w:szCs w:val="24"/>
              </w:rPr>
              <w:t>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Закону України </w:t>
            </w:r>
            <w:r w:rsidR="002D0A74" w:rsidRPr="002D0A74">
              <w:rPr>
                <w:sz w:val="24"/>
                <w:szCs w:val="24"/>
                <w:lang w:val="ru-RU"/>
              </w:rPr>
              <w:t>“</w:t>
            </w:r>
            <w:r w:rsidRPr="00F90129">
              <w:rPr>
                <w:sz w:val="24"/>
                <w:szCs w:val="24"/>
              </w:rPr>
              <w:t>Про захист персональних даних</w:t>
            </w:r>
            <w:r w:rsidR="002D0A74" w:rsidRPr="002D0A74">
              <w:rPr>
                <w:sz w:val="24"/>
                <w:szCs w:val="24"/>
                <w:lang w:val="ru-RU"/>
              </w:rPr>
              <w:t>”</w:t>
            </w:r>
            <w:r w:rsidRPr="00F90129">
              <w:rPr>
                <w:sz w:val="24"/>
                <w:szCs w:val="24"/>
              </w:rPr>
              <w:t xml:space="preserve">; 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>Кримінальної конвенції про боротьбу з корупцією (ЕТS 173) від 27.01.1999, ратифікованої Верховною Радою України 18.10.2006;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>Цивільної конвенції про боротьбу з корупцією від 04.11.1999, ратифікованої Верховною Радою України 16.03.2005;</w:t>
            </w:r>
          </w:p>
          <w:p w:rsidR="00E74326" w:rsidRPr="00F90129" w:rsidRDefault="002D0A74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0129">
              <w:rPr>
                <w:sz w:val="24"/>
                <w:szCs w:val="24"/>
              </w:rPr>
              <w:t>останов</w:t>
            </w:r>
            <w:r>
              <w:rPr>
                <w:sz w:val="24"/>
                <w:szCs w:val="24"/>
              </w:rPr>
              <w:t>и</w:t>
            </w:r>
            <w:r w:rsidRPr="00F90129">
              <w:rPr>
                <w:sz w:val="24"/>
                <w:szCs w:val="24"/>
              </w:rPr>
              <w:t xml:space="preserve"> Кабінету Міністрів України від 16.11.2011 </w:t>
            </w:r>
            <w:r>
              <w:rPr>
                <w:sz w:val="24"/>
                <w:szCs w:val="24"/>
              </w:rPr>
              <w:br/>
            </w:r>
            <w:r w:rsidRPr="00F90129">
              <w:rPr>
                <w:sz w:val="24"/>
                <w:szCs w:val="24"/>
              </w:rPr>
              <w:t>№ 1195</w:t>
            </w:r>
            <w:r>
              <w:rPr>
                <w:sz w:val="24"/>
                <w:szCs w:val="24"/>
              </w:rPr>
              <w:t xml:space="preserve"> </w:t>
            </w:r>
            <w:r w:rsidRPr="002D0A7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Про затвердження </w:t>
            </w:r>
            <w:r w:rsidR="00E74326" w:rsidRPr="00F90129">
              <w:rPr>
                <w:sz w:val="24"/>
                <w:szCs w:val="24"/>
              </w:rPr>
              <w:t>Порядку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</w:t>
            </w:r>
            <w:r w:rsidR="00696658" w:rsidRPr="00696658">
              <w:rPr>
                <w:sz w:val="24"/>
                <w:szCs w:val="24"/>
              </w:rPr>
              <w:t>”</w:t>
            </w:r>
            <w:r w:rsidR="00E74326" w:rsidRPr="00F90129">
              <w:rPr>
                <w:sz w:val="24"/>
                <w:szCs w:val="24"/>
              </w:rPr>
              <w:t>;</w:t>
            </w:r>
          </w:p>
          <w:p w:rsidR="00E74326" w:rsidRPr="00F90129" w:rsidRDefault="00210B2B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0129">
              <w:rPr>
                <w:sz w:val="24"/>
                <w:szCs w:val="24"/>
              </w:rPr>
              <w:t>останов</w:t>
            </w:r>
            <w:r>
              <w:rPr>
                <w:sz w:val="24"/>
                <w:szCs w:val="24"/>
              </w:rPr>
              <w:t>и</w:t>
            </w:r>
            <w:r w:rsidRPr="00F90129">
              <w:rPr>
                <w:sz w:val="24"/>
                <w:szCs w:val="24"/>
              </w:rPr>
              <w:t xml:space="preserve"> Кабінету Міністрів України від 13.06.2000 </w:t>
            </w:r>
            <w:r>
              <w:rPr>
                <w:sz w:val="24"/>
                <w:szCs w:val="24"/>
              </w:rPr>
              <w:br/>
            </w:r>
            <w:r w:rsidRPr="00F90129">
              <w:rPr>
                <w:sz w:val="24"/>
                <w:szCs w:val="24"/>
              </w:rPr>
              <w:t>№ 950</w:t>
            </w:r>
            <w:r>
              <w:rPr>
                <w:sz w:val="24"/>
                <w:szCs w:val="24"/>
              </w:rPr>
              <w:t xml:space="preserve"> </w:t>
            </w:r>
            <w:r w:rsidRPr="00210B2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Про затвердження </w:t>
            </w:r>
            <w:r w:rsidR="00E74326" w:rsidRPr="00F90129">
              <w:rPr>
                <w:sz w:val="24"/>
                <w:szCs w:val="24"/>
              </w:rPr>
              <w:t xml:space="preserve">Порядку проведення службового розслідування стосовно осіб, уповноважених на виконання функцій держави або місцевого самоврядування, та осіб, які для цілей Закону України </w:t>
            </w:r>
            <w:r w:rsidR="00DC5BA0" w:rsidRPr="00210B2B">
              <w:rPr>
                <w:sz w:val="24"/>
                <w:szCs w:val="24"/>
              </w:rPr>
              <w:t>“</w:t>
            </w:r>
            <w:r w:rsidR="00E74326" w:rsidRPr="00F90129">
              <w:rPr>
                <w:sz w:val="24"/>
                <w:szCs w:val="24"/>
              </w:rPr>
              <w:t>Про запобігання корупції</w:t>
            </w:r>
            <w:r w:rsidR="00DC5BA0" w:rsidRPr="00210B2B">
              <w:rPr>
                <w:sz w:val="24"/>
                <w:szCs w:val="24"/>
              </w:rPr>
              <w:t>”</w:t>
            </w:r>
            <w:r w:rsidR="00E74326" w:rsidRPr="00F90129">
              <w:rPr>
                <w:sz w:val="24"/>
                <w:szCs w:val="24"/>
              </w:rPr>
              <w:t xml:space="preserve"> прирівнюються до осіб, </w:t>
            </w:r>
            <w:r w:rsidR="00E74326" w:rsidRPr="00F90129">
              <w:rPr>
                <w:sz w:val="24"/>
                <w:szCs w:val="24"/>
              </w:rPr>
              <w:lastRenderedPageBreak/>
              <w:t>уповноважених на виконання функцій держа</w:t>
            </w:r>
            <w:r>
              <w:rPr>
                <w:sz w:val="24"/>
                <w:szCs w:val="24"/>
              </w:rPr>
              <w:t>ви або місцевого самоврядування</w:t>
            </w:r>
            <w:r w:rsidRPr="00210B2B">
              <w:rPr>
                <w:sz w:val="24"/>
                <w:szCs w:val="24"/>
              </w:rPr>
              <w:t>”</w:t>
            </w:r>
            <w:r w:rsidR="00E74326" w:rsidRPr="00F90129">
              <w:rPr>
                <w:sz w:val="24"/>
                <w:szCs w:val="24"/>
              </w:rPr>
              <w:t>;</w:t>
            </w:r>
          </w:p>
          <w:p w:rsidR="00E74326" w:rsidRPr="00F90129" w:rsidRDefault="00210B2B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0129">
              <w:rPr>
                <w:sz w:val="24"/>
                <w:szCs w:val="24"/>
              </w:rPr>
              <w:t>останов</w:t>
            </w:r>
            <w:r>
              <w:rPr>
                <w:sz w:val="24"/>
                <w:szCs w:val="24"/>
              </w:rPr>
              <w:t>и</w:t>
            </w:r>
            <w:r w:rsidRPr="00F90129">
              <w:rPr>
                <w:sz w:val="24"/>
                <w:szCs w:val="24"/>
              </w:rPr>
              <w:t xml:space="preserve"> Кабінету Міністрів України від 25.03.2015 </w:t>
            </w:r>
            <w:r>
              <w:rPr>
                <w:sz w:val="24"/>
                <w:szCs w:val="24"/>
              </w:rPr>
              <w:br/>
            </w:r>
            <w:r w:rsidRPr="00F90129">
              <w:rPr>
                <w:sz w:val="24"/>
                <w:szCs w:val="24"/>
              </w:rPr>
              <w:t>№ 171</w:t>
            </w:r>
            <w:r>
              <w:rPr>
                <w:sz w:val="24"/>
                <w:szCs w:val="24"/>
              </w:rPr>
              <w:t xml:space="preserve"> </w:t>
            </w:r>
            <w:r w:rsidRPr="00210B2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Про затвердження </w:t>
            </w:r>
            <w:r w:rsidR="00E74326" w:rsidRPr="00F90129">
              <w:rPr>
                <w:sz w:val="24"/>
                <w:szCs w:val="24"/>
              </w:rPr>
              <w:t>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</w:t>
            </w:r>
            <w:r>
              <w:rPr>
                <w:sz w:val="24"/>
                <w:szCs w:val="24"/>
              </w:rPr>
              <w:t xml:space="preserve"> підвищеним корупційним ризиком</w:t>
            </w:r>
            <w:r w:rsidRPr="00210B2B">
              <w:rPr>
                <w:sz w:val="24"/>
                <w:szCs w:val="24"/>
              </w:rPr>
              <w:t>”</w:t>
            </w:r>
            <w:r w:rsidR="00E74326" w:rsidRPr="00F90129">
              <w:rPr>
                <w:sz w:val="24"/>
                <w:szCs w:val="24"/>
              </w:rPr>
              <w:t>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>Положення про Національну службу здоров’я України, затвердженого постановою Кабінету Міністрів України від 27.12.2017 № 1101;</w:t>
            </w:r>
          </w:p>
          <w:p w:rsidR="00E74326" w:rsidRPr="00F90129" w:rsidRDefault="00E74326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Наказу Національного агентства з питань запобігання корупції від 26.04.2021 № 240/21, зареєстрованого в Міністерстві юстиції України 18 травня 2021 р. за </w:t>
            </w:r>
            <w:r w:rsidR="00210B2B">
              <w:rPr>
                <w:sz w:val="24"/>
                <w:szCs w:val="24"/>
              </w:rPr>
              <w:br/>
            </w:r>
            <w:r w:rsidRPr="00F90129">
              <w:rPr>
                <w:sz w:val="24"/>
                <w:szCs w:val="24"/>
              </w:rPr>
              <w:t xml:space="preserve">№ 650/36272 </w:t>
            </w:r>
            <w:r w:rsidR="00210B2B" w:rsidRPr="00210B2B">
              <w:rPr>
                <w:sz w:val="24"/>
                <w:szCs w:val="24"/>
              </w:rPr>
              <w:t>“</w:t>
            </w:r>
            <w:r w:rsidRPr="00F90129">
              <w:rPr>
                <w:sz w:val="24"/>
                <w:szCs w:val="24"/>
              </w:rPr>
              <w:t>Про встановлення обов’язкових вимог до мінімальної штатної чисельності уповноваженого підрозділу з питань запобігання та виявлення корупції в державних органах</w:t>
            </w:r>
            <w:r w:rsidR="00210B2B" w:rsidRPr="00210B2B">
              <w:rPr>
                <w:sz w:val="24"/>
                <w:szCs w:val="24"/>
              </w:rPr>
              <w:t>”</w:t>
            </w:r>
            <w:r w:rsidRPr="00F90129">
              <w:rPr>
                <w:sz w:val="24"/>
                <w:szCs w:val="24"/>
              </w:rPr>
              <w:t>;</w:t>
            </w:r>
          </w:p>
          <w:p w:rsidR="00E74326" w:rsidRPr="00F90129" w:rsidRDefault="00210B2B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90129">
              <w:rPr>
                <w:sz w:val="24"/>
                <w:szCs w:val="24"/>
              </w:rPr>
              <w:t>аказ</w:t>
            </w:r>
            <w:r>
              <w:rPr>
                <w:sz w:val="24"/>
                <w:szCs w:val="24"/>
              </w:rPr>
              <w:t>у</w:t>
            </w:r>
            <w:r w:rsidRPr="00F90129">
              <w:rPr>
                <w:sz w:val="24"/>
                <w:szCs w:val="24"/>
              </w:rPr>
              <w:t xml:space="preserve"> Національного агентства з питань запобігання корупції від 02.04.2020 № 117/20 </w:t>
            </w:r>
            <w:r w:rsidRPr="00210B2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Про затвердження </w:t>
            </w:r>
            <w:r w:rsidR="00E74326" w:rsidRPr="00F90129">
              <w:rPr>
                <w:sz w:val="24"/>
                <w:szCs w:val="24"/>
              </w:rPr>
              <w:t>Вимог до захисту анонімних каналів зв</w:t>
            </w:r>
            <w:r>
              <w:rPr>
                <w:sz w:val="24"/>
                <w:szCs w:val="24"/>
              </w:rPr>
              <w:t>’</w:t>
            </w:r>
            <w:r w:rsidR="00E74326" w:rsidRPr="00F90129">
              <w:rPr>
                <w:sz w:val="24"/>
                <w:szCs w:val="24"/>
              </w:rPr>
              <w:t>язку, через які здійснюються повідомлення про можливі факти корупційних або пов</w:t>
            </w:r>
            <w:r>
              <w:rPr>
                <w:sz w:val="24"/>
                <w:szCs w:val="24"/>
              </w:rPr>
              <w:t>’</w:t>
            </w:r>
            <w:r w:rsidR="00E74326" w:rsidRPr="00F90129">
              <w:rPr>
                <w:sz w:val="24"/>
                <w:szCs w:val="24"/>
              </w:rPr>
              <w:t xml:space="preserve">язаних з корупцією правопорушень, інших порушень Закону України </w:t>
            </w:r>
            <w:r w:rsidRPr="00210B2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Про запобігання корупції</w:t>
            </w:r>
            <w:r w:rsidRPr="00210B2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Pr="00F90129">
              <w:rPr>
                <w:sz w:val="24"/>
                <w:szCs w:val="24"/>
              </w:rPr>
              <w:t xml:space="preserve"> зареєстрован</w:t>
            </w:r>
            <w:r>
              <w:rPr>
                <w:sz w:val="24"/>
                <w:szCs w:val="24"/>
              </w:rPr>
              <w:t>ого</w:t>
            </w:r>
            <w:r w:rsidRPr="00F90129">
              <w:rPr>
                <w:sz w:val="24"/>
                <w:szCs w:val="24"/>
              </w:rPr>
              <w:t xml:space="preserve"> в Міністерстві юстиції України 22.04.2020 р. за № 370/34653</w:t>
            </w:r>
            <w:r w:rsidR="00E74326" w:rsidRPr="00F90129">
              <w:rPr>
                <w:sz w:val="24"/>
                <w:szCs w:val="24"/>
              </w:rPr>
              <w:t>;</w:t>
            </w:r>
          </w:p>
          <w:p w:rsidR="00E74326" w:rsidRPr="00F90129" w:rsidRDefault="00065E48" w:rsidP="00F6158B">
            <w:pPr>
              <w:numPr>
                <w:ilvl w:val="0"/>
                <w:numId w:val="12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90129">
              <w:rPr>
                <w:sz w:val="24"/>
                <w:szCs w:val="24"/>
              </w:rPr>
              <w:t>аказ</w:t>
            </w:r>
            <w:r>
              <w:rPr>
                <w:sz w:val="24"/>
                <w:szCs w:val="24"/>
              </w:rPr>
              <w:t>у</w:t>
            </w:r>
            <w:r w:rsidRPr="00F90129">
              <w:rPr>
                <w:sz w:val="24"/>
                <w:szCs w:val="24"/>
              </w:rPr>
              <w:t xml:space="preserve"> Національного агентства з питань запобігання корупції від 27.05.2021  № 277/21</w:t>
            </w:r>
            <w:r>
              <w:rPr>
                <w:sz w:val="24"/>
                <w:szCs w:val="24"/>
              </w:rPr>
              <w:t xml:space="preserve"> </w:t>
            </w:r>
            <w:r w:rsidRPr="00065E4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Про затвердження </w:t>
            </w:r>
            <w:r w:rsidR="00E74326" w:rsidRPr="00F90129">
              <w:rPr>
                <w:sz w:val="24"/>
                <w:szCs w:val="24"/>
              </w:rPr>
              <w:t>Типового положення про уповноважений підрозділ (уповноважену особу) з питань запобігання та виявлення корупції</w:t>
            </w:r>
            <w:r w:rsidRPr="00065E48">
              <w:rPr>
                <w:sz w:val="24"/>
                <w:szCs w:val="24"/>
              </w:rPr>
              <w:t>”</w:t>
            </w:r>
            <w:r w:rsidR="00E74326" w:rsidRPr="00F90129">
              <w:rPr>
                <w:sz w:val="24"/>
                <w:szCs w:val="24"/>
              </w:rPr>
              <w:t>, зареєстрованого в Міністерстві юстиції України 14 липня 2021 р. за № 914/36536;</w:t>
            </w:r>
          </w:p>
          <w:p w:rsidR="00E74326" w:rsidRPr="00DD61ED" w:rsidRDefault="00E74326" w:rsidP="00F6158B">
            <w:pPr>
              <w:spacing w:line="240" w:lineRule="auto"/>
              <w:ind w:left="175" w:hanging="142"/>
              <w:jc w:val="both"/>
              <w:rPr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>- </w:t>
            </w:r>
            <w:r w:rsidR="00065E48">
              <w:rPr>
                <w:sz w:val="24"/>
                <w:szCs w:val="24"/>
              </w:rPr>
              <w:t>Н</w:t>
            </w:r>
            <w:r w:rsidR="00065E48" w:rsidRPr="00F90129">
              <w:rPr>
                <w:sz w:val="24"/>
                <w:szCs w:val="24"/>
              </w:rPr>
              <w:t>аказ</w:t>
            </w:r>
            <w:r w:rsidR="00065E48">
              <w:rPr>
                <w:sz w:val="24"/>
                <w:szCs w:val="24"/>
              </w:rPr>
              <w:t>у</w:t>
            </w:r>
            <w:r w:rsidR="00065E48" w:rsidRPr="00F90129">
              <w:rPr>
                <w:sz w:val="24"/>
                <w:szCs w:val="24"/>
              </w:rPr>
              <w:t xml:space="preserve"> Національного агентства з питань запобігання корупції від 21.05.2021 № 268/21</w:t>
            </w:r>
            <w:r w:rsidR="00065E48">
              <w:rPr>
                <w:sz w:val="24"/>
                <w:szCs w:val="24"/>
              </w:rPr>
              <w:t xml:space="preserve"> </w:t>
            </w:r>
            <w:r w:rsidR="00065E48" w:rsidRPr="00065E48">
              <w:rPr>
                <w:sz w:val="24"/>
                <w:szCs w:val="24"/>
              </w:rPr>
              <w:t>“</w:t>
            </w:r>
            <w:r w:rsidR="00065E48">
              <w:rPr>
                <w:sz w:val="24"/>
                <w:szCs w:val="24"/>
              </w:rPr>
              <w:t xml:space="preserve">Про затвердження </w:t>
            </w:r>
            <w:r w:rsidRPr="00F90129">
              <w:rPr>
                <w:sz w:val="24"/>
                <w:szCs w:val="24"/>
              </w:rPr>
              <w:t>Порядку надання згоди Національним агентством з питань запобігання корупції на звільнення керівника уповноваженого підрозділу (уповноваженої особи) з питань запобігання та виявлення корупції державного органу, юрисдикція якого поширюється на всю територію України</w:t>
            </w:r>
            <w:r w:rsidR="00DD61ED" w:rsidRPr="00DD61ED">
              <w:rPr>
                <w:sz w:val="24"/>
                <w:szCs w:val="24"/>
                <w:lang w:val="ru-RU"/>
              </w:rPr>
              <w:t>”</w:t>
            </w:r>
            <w:r w:rsidRPr="00F90129">
              <w:rPr>
                <w:sz w:val="24"/>
                <w:szCs w:val="24"/>
              </w:rPr>
              <w:t>, зареєстрованого в Міністерстві юстиції України 2</w:t>
            </w:r>
            <w:r w:rsidR="00DC5BA0">
              <w:rPr>
                <w:sz w:val="24"/>
                <w:szCs w:val="24"/>
              </w:rPr>
              <w:t>3 червня 2021 р. за № 828/36450</w:t>
            </w:r>
          </w:p>
        </w:tc>
      </w:tr>
      <w:tr w:rsidR="00E74326" w:rsidRPr="00ED5991" w:rsidTr="00E74326">
        <w:trPr>
          <w:tblCellSpacing w:w="22" w:type="dxa"/>
        </w:trPr>
        <w:tc>
          <w:tcPr>
            <w:tcW w:w="157" w:type="pct"/>
          </w:tcPr>
          <w:p w:rsidR="00E74326" w:rsidRPr="00ED5991" w:rsidRDefault="00E74326" w:rsidP="00E74326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77" w:type="pct"/>
            <w:shd w:val="clear" w:color="auto" w:fill="auto"/>
          </w:tcPr>
          <w:p w:rsidR="00E74326" w:rsidRPr="00DD61ED" w:rsidRDefault="00E74326" w:rsidP="00E74326">
            <w:pPr>
              <w:tabs>
                <w:tab w:val="left" w:pos="1418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системи р</w:t>
            </w:r>
            <w:r>
              <w:rPr>
                <w:rFonts w:cs="Times New Roman"/>
                <w:sz w:val="24"/>
                <w:szCs w:val="24"/>
              </w:rPr>
              <w:t>озроблення, організації</w:t>
            </w:r>
            <w:r w:rsidRPr="00A27055">
              <w:rPr>
                <w:rFonts w:cs="Times New Roman"/>
                <w:sz w:val="24"/>
                <w:szCs w:val="24"/>
              </w:rPr>
              <w:t xml:space="preserve"> та</w:t>
            </w:r>
            <w:r>
              <w:rPr>
                <w:rFonts w:cs="Times New Roman"/>
                <w:sz w:val="24"/>
                <w:szCs w:val="24"/>
              </w:rPr>
              <w:t xml:space="preserve"> контролю</w:t>
            </w:r>
            <w:r w:rsidRPr="00A27055">
              <w:rPr>
                <w:rFonts w:cs="Times New Roman"/>
                <w:sz w:val="24"/>
                <w:szCs w:val="24"/>
              </w:rPr>
              <w:t xml:space="preserve"> за проведенням заходів щодо запобігання корупційним правопорушенням та правопорушенням, пов’язаним з корупцією</w:t>
            </w:r>
          </w:p>
        </w:tc>
        <w:tc>
          <w:tcPr>
            <w:tcW w:w="3080" w:type="pct"/>
            <w:shd w:val="clear" w:color="auto" w:fill="auto"/>
          </w:tcPr>
          <w:p w:rsidR="00E74326" w:rsidRPr="00794335" w:rsidRDefault="00E74326" w:rsidP="00E74326">
            <w:pPr>
              <w:tabs>
                <w:tab w:val="left" w:pos="141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27055">
              <w:rPr>
                <w:rFonts w:cs="Times New Roman"/>
                <w:sz w:val="24"/>
                <w:szCs w:val="24"/>
              </w:rPr>
              <w:t>Розроблення, організація та контроль за проведенням заходів щодо запобігання корупційним правопорушенням та правопорушенням, пов’язаним з корупцією, в НСЗУ</w:t>
            </w:r>
          </w:p>
        </w:tc>
      </w:tr>
    </w:tbl>
    <w:p w:rsidR="00EB2F3A" w:rsidRDefault="00EB2F3A" w:rsidP="00EB2F3A"/>
    <w:sectPr w:rsidR="00EB2F3A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54D4"/>
    <w:multiLevelType w:val="hybridMultilevel"/>
    <w:tmpl w:val="19726826"/>
    <w:lvl w:ilvl="0" w:tplc="11D8C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DCB"/>
    <w:multiLevelType w:val="hybridMultilevel"/>
    <w:tmpl w:val="5E007C86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AC67DBB"/>
    <w:multiLevelType w:val="hybridMultilevel"/>
    <w:tmpl w:val="904075D0"/>
    <w:lvl w:ilvl="0" w:tplc="11D8C9BC">
      <w:start w:val="1"/>
      <w:numFmt w:val="bullet"/>
      <w:lvlText w:val="-"/>
      <w:lvlJc w:val="left"/>
      <w:pPr>
        <w:ind w:left="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EA076">
      <w:start w:val="1"/>
      <w:numFmt w:val="bullet"/>
      <w:lvlText w:val="o"/>
      <w:lvlJc w:val="left"/>
      <w:pPr>
        <w:ind w:left="9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6C478">
      <w:start w:val="1"/>
      <w:numFmt w:val="bullet"/>
      <w:lvlText w:val="-"/>
      <w:lvlJc w:val="left"/>
      <w:pPr>
        <w:ind w:left="16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5A2E6A">
      <w:start w:val="1"/>
      <w:numFmt w:val="bullet"/>
      <w:lvlText w:val="•"/>
      <w:lvlJc w:val="left"/>
      <w:pPr>
        <w:ind w:left="2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408E60">
      <w:start w:val="1"/>
      <w:numFmt w:val="bullet"/>
      <w:lvlText w:val="o"/>
      <w:lvlJc w:val="left"/>
      <w:pPr>
        <w:ind w:left="311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4C3512">
      <w:start w:val="1"/>
      <w:numFmt w:val="bullet"/>
      <w:lvlText w:val="▪"/>
      <w:lvlJc w:val="left"/>
      <w:pPr>
        <w:ind w:left="3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C8B48">
      <w:start w:val="1"/>
      <w:numFmt w:val="bullet"/>
      <w:lvlText w:val="•"/>
      <w:lvlJc w:val="left"/>
      <w:pPr>
        <w:ind w:left="45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AC6BC">
      <w:start w:val="1"/>
      <w:numFmt w:val="bullet"/>
      <w:lvlText w:val="o"/>
      <w:lvlJc w:val="left"/>
      <w:pPr>
        <w:ind w:left="52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0AB214">
      <w:start w:val="1"/>
      <w:numFmt w:val="bullet"/>
      <w:lvlText w:val="▪"/>
      <w:lvlJc w:val="left"/>
      <w:pPr>
        <w:ind w:left="59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7D1AAF"/>
    <w:multiLevelType w:val="hybridMultilevel"/>
    <w:tmpl w:val="B78E431A"/>
    <w:lvl w:ilvl="0" w:tplc="037CFB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73B3"/>
    <w:multiLevelType w:val="hybridMultilevel"/>
    <w:tmpl w:val="F6A25E7E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B3337"/>
    <w:multiLevelType w:val="hybridMultilevel"/>
    <w:tmpl w:val="1A326896"/>
    <w:lvl w:ilvl="0" w:tplc="A6AA38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EC0214"/>
    <w:multiLevelType w:val="hybridMultilevel"/>
    <w:tmpl w:val="0548DCFE"/>
    <w:lvl w:ilvl="0" w:tplc="A6AA3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F87425A"/>
    <w:multiLevelType w:val="hybridMultilevel"/>
    <w:tmpl w:val="6A52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3"/>
    <w:lvlOverride w:ilvl="0">
      <w:lvl w:ilvl="0" w:tplc="11D8C9BC">
        <w:start w:val="1"/>
        <w:numFmt w:val="bullet"/>
        <w:lvlText w:val="-"/>
        <w:lvlJc w:val="left"/>
        <w:pPr>
          <w:ind w:left="2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EA076">
        <w:start w:val="1"/>
        <w:numFmt w:val="bullet"/>
        <w:lvlText w:val="o"/>
        <w:lvlJc w:val="left"/>
        <w:pPr>
          <w:ind w:left="9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F6C478">
        <w:start w:val="1"/>
        <w:numFmt w:val="bullet"/>
        <w:lvlText w:val="-"/>
        <w:lvlJc w:val="left"/>
        <w:pPr>
          <w:ind w:left="16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A2E6A">
        <w:start w:val="1"/>
        <w:numFmt w:val="bullet"/>
        <w:lvlText w:val="•"/>
        <w:lvlJc w:val="left"/>
        <w:pPr>
          <w:ind w:left="23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08E60">
        <w:start w:val="1"/>
        <w:numFmt w:val="bullet"/>
        <w:lvlText w:val="o"/>
        <w:lvlJc w:val="left"/>
        <w:pPr>
          <w:ind w:left="311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C3512">
        <w:start w:val="1"/>
        <w:numFmt w:val="bullet"/>
        <w:lvlText w:val="▪"/>
        <w:lvlJc w:val="left"/>
        <w:pPr>
          <w:ind w:left="38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C8B48">
        <w:start w:val="1"/>
        <w:numFmt w:val="bullet"/>
        <w:lvlText w:val="•"/>
        <w:lvlJc w:val="left"/>
        <w:pPr>
          <w:ind w:left="45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AC6BC">
        <w:start w:val="1"/>
        <w:numFmt w:val="bullet"/>
        <w:lvlText w:val="o"/>
        <w:lvlJc w:val="left"/>
        <w:pPr>
          <w:ind w:left="52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AB214">
        <w:start w:val="1"/>
        <w:numFmt w:val="bullet"/>
        <w:lvlText w:val="▪"/>
        <w:lvlJc w:val="left"/>
        <w:pPr>
          <w:ind w:left="59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A"/>
    <w:rsid w:val="000041BC"/>
    <w:rsid w:val="00065E48"/>
    <w:rsid w:val="000C09E7"/>
    <w:rsid w:val="00133DF7"/>
    <w:rsid w:val="001640CA"/>
    <w:rsid w:val="0018017C"/>
    <w:rsid w:val="001A0364"/>
    <w:rsid w:val="001B11A0"/>
    <w:rsid w:val="001B6941"/>
    <w:rsid w:val="001E5594"/>
    <w:rsid w:val="001F3350"/>
    <w:rsid w:val="00210B2B"/>
    <w:rsid w:val="002637A1"/>
    <w:rsid w:val="002878EF"/>
    <w:rsid w:val="002D0A74"/>
    <w:rsid w:val="002D19EB"/>
    <w:rsid w:val="002E06CE"/>
    <w:rsid w:val="0032335C"/>
    <w:rsid w:val="00334A5E"/>
    <w:rsid w:val="00351D16"/>
    <w:rsid w:val="004077C9"/>
    <w:rsid w:val="0047363C"/>
    <w:rsid w:val="00480F44"/>
    <w:rsid w:val="0048535C"/>
    <w:rsid w:val="004923B7"/>
    <w:rsid w:val="004E4227"/>
    <w:rsid w:val="005C7A2C"/>
    <w:rsid w:val="0066579A"/>
    <w:rsid w:val="00685A94"/>
    <w:rsid w:val="00696658"/>
    <w:rsid w:val="006C709F"/>
    <w:rsid w:val="007049EA"/>
    <w:rsid w:val="00743DE2"/>
    <w:rsid w:val="007A1E8C"/>
    <w:rsid w:val="007B0805"/>
    <w:rsid w:val="0081481A"/>
    <w:rsid w:val="00877EBD"/>
    <w:rsid w:val="00887461"/>
    <w:rsid w:val="00907B44"/>
    <w:rsid w:val="00992A9C"/>
    <w:rsid w:val="00A43D7B"/>
    <w:rsid w:val="00A93902"/>
    <w:rsid w:val="00AD7DFF"/>
    <w:rsid w:val="00B94827"/>
    <w:rsid w:val="00BE0602"/>
    <w:rsid w:val="00C16595"/>
    <w:rsid w:val="00C75209"/>
    <w:rsid w:val="00D774F2"/>
    <w:rsid w:val="00DC5BA0"/>
    <w:rsid w:val="00DD61ED"/>
    <w:rsid w:val="00E14223"/>
    <w:rsid w:val="00E431B6"/>
    <w:rsid w:val="00E70B3C"/>
    <w:rsid w:val="00E74326"/>
    <w:rsid w:val="00E83E2C"/>
    <w:rsid w:val="00E9584E"/>
    <w:rsid w:val="00EB2F3A"/>
    <w:rsid w:val="00EC1B49"/>
    <w:rsid w:val="00EE6862"/>
    <w:rsid w:val="00F423B4"/>
    <w:rsid w:val="00F44B03"/>
    <w:rsid w:val="00F53815"/>
    <w:rsid w:val="00F55DE9"/>
    <w:rsid w:val="00F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A947"/>
  <w15:chartTrackingRefBased/>
  <w15:docId w15:val="{DAF46F7A-235E-45CE-8607-05C45F3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3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B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B2F3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B2F3A"/>
  </w:style>
  <w:style w:type="paragraph" w:customStyle="1" w:styleId="rvps14">
    <w:name w:val="rvps14"/>
    <w:basedOn w:val="a"/>
    <w:uiPriority w:val="99"/>
    <w:rsid w:val="00EB2F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B2F3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B2F3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1B6"/>
    <w:rPr>
      <w:rFonts w:ascii="Segoe UI" w:eastAsia="Times New Roman" w:hAnsi="Segoe UI" w:cs="Segoe UI"/>
      <w:sz w:val="18"/>
      <w:szCs w:val="18"/>
    </w:rPr>
  </w:style>
  <w:style w:type="character" w:customStyle="1" w:styleId="a8">
    <w:name w:val="Немає"/>
    <w:rsid w:val="00992A9C"/>
  </w:style>
  <w:style w:type="character" w:customStyle="1" w:styleId="Hyperlink0">
    <w:name w:val="Hyperlink.0"/>
    <w:basedOn w:val="a8"/>
    <w:rsid w:val="00992A9C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2E06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E06C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2E06CE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6C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2E06CE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7426</Words>
  <Characters>4233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10</cp:revision>
  <cp:lastPrinted>2021-11-22T11:00:00Z</cp:lastPrinted>
  <dcterms:created xsi:type="dcterms:W3CDTF">2021-11-18T10:10:00Z</dcterms:created>
  <dcterms:modified xsi:type="dcterms:W3CDTF">2021-11-22T11:38:00Z</dcterms:modified>
</cp:coreProperties>
</file>