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BF054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0F6B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0F6B0A">
              <w:rPr>
                <w:color w:val="000000"/>
                <w:sz w:val="24"/>
                <w:szCs w:val="24"/>
                <w:lang w:val="en-US"/>
              </w:rPr>
              <w:t>21.10.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0F6B0A">
              <w:rPr>
                <w:sz w:val="24"/>
                <w:szCs w:val="24"/>
                <w:lang w:val="en-US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Pr="00EC6E74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B0EB5">
        <w:rPr>
          <w:rFonts w:ascii="Times New Roman" w:hAnsi="Times New Roman"/>
          <w:sz w:val="24"/>
          <w:szCs w:val="24"/>
        </w:rPr>
        <w:t xml:space="preserve">головного спеціаліста відділу </w:t>
      </w:r>
      <w:r w:rsidRPr="002D3003">
        <w:rPr>
          <w:rFonts w:ascii="Times New Roman" w:hAnsi="Times New Roman"/>
          <w:sz w:val="24"/>
          <w:szCs w:val="24"/>
          <w:lang w:eastAsia="ru-RU"/>
        </w:rPr>
        <w:t>інженерно-технічного забезпечення господарського управління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670">
        <w:rPr>
          <w:rFonts w:ascii="Times New Roman" w:hAnsi="Times New Roman"/>
          <w:sz w:val="24"/>
          <w:szCs w:val="24"/>
        </w:rPr>
        <w:t>Адміністративного департаменту</w:t>
      </w:r>
    </w:p>
    <w:p w:rsidR="002D3003" w:rsidRPr="00616A8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44"/>
        <w:gridCol w:w="6276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47" w:type="pct"/>
            <w:shd w:val="clear" w:color="auto" w:fill="auto"/>
          </w:tcPr>
          <w:p w:rsidR="00CA1712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 в</w:t>
            </w:r>
            <w:proofErr w:type="spellStart"/>
            <w:r>
              <w:rPr>
                <w:color w:val="000000"/>
                <w:sz w:val="24"/>
                <w:szCs w:val="24"/>
              </w:rPr>
              <w:t>иконує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роботу, спрямовану</w:t>
            </w:r>
            <w:r w:rsidRPr="00A60529">
              <w:rPr>
                <w:color w:val="000000"/>
                <w:sz w:val="24"/>
                <w:szCs w:val="24"/>
              </w:rPr>
              <w:t xml:space="preserve"> на забезпечення надійного, ефективного функціонування, оперативного контролю технічного стану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F0C">
              <w:rPr>
                <w:color w:val="000000"/>
                <w:sz w:val="24"/>
                <w:szCs w:val="24"/>
              </w:rPr>
              <w:t>систем</w:t>
            </w:r>
            <w:r>
              <w:rPr>
                <w:color w:val="000000"/>
                <w:sz w:val="24"/>
                <w:szCs w:val="24"/>
              </w:rPr>
              <w:t xml:space="preserve"> теплопостачання, водопостачання та водовідведення</w:t>
            </w:r>
            <w:r w:rsidRPr="005C6F0C">
              <w:rPr>
                <w:color w:val="000000"/>
                <w:sz w:val="24"/>
                <w:szCs w:val="24"/>
              </w:rPr>
              <w:t xml:space="preserve"> (внутрішніх та зовнішніх) в будівлі та на території НСЗУ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 з</w:t>
            </w:r>
            <w:proofErr w:type="spellStart"/>
            <w:r>
              <w:rPr>
                <w:color w:val="000000"/>
                <w:sz w:val="24"/>
                <w:szCs w:val="24"/>
              </w:rPr>
              <w:t>дійснює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перевірку, технічне</w:t>
            </w:r>
            <w:r w:rsidRPr="0035260D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та поточний ремонт обладнання систем</w:t>
            </w:r>
            <w:r w:rsidRPr="00352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теплопостачання, водопостачання та водовідведення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 в</w:t>
            </w:r>
            <w:r w:rsidRPr="0035260D">
              <w:rPr>
                <w:color w:val="000000"/>
                <w:sz w:val="24"/>
                <w:szCs w:val="24"/>
              </w:rPr>
              <w:t xml:space="preserve">живає заходів щодо усунення </w:t>
            </w:r>
            <w:proofErr w:type="spellStart"/>
            <w:r w:rsidRPr="0035260D">
              <w:rPr>
                <w:color w:val="000000"/>
                <w:sz w:val="24"/>
                <w:szCs w:val="24"/>
              </w:rPr>
              <w:t>несправностей</w:t>
            </w:r>
            <w:proofErr w:type="spellEnd"/>
            <w:r w:rsidRPr="0035260D">
              <w:rPr>
                <w:color w:val="000000"/>
                <w:sz w:val="24"/>
                <w:szCs w:val="24"/>
              </w:rPr>
              <w:t xml:space="preserve"> та аварій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 з</w:t>
            </w:r>
            <w:proofErr w:type="spellStart"/>
            <w:r>
              <w:rPr>
                <w:color w:val="000000"/>
                <w:sz w:val="24"/>
                <w:szCs w:val="24"/>
              </w:rPr>
              <w:t>дійснює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підготовку, оформлення, погодження, укладення</w:t>
            </w:r>
            <w:r w:rsidRPr="0076734E">
              <w:rPr>
                <w:color w:val="000000"/>
                <w:sz w:val="24"/>
                <w:szCs w:val="28"/>
              </w:rPr>
              <w:t xml:space="preserve"> договор</w:t>
            </w:r>
            <w:r>
              <w:rPr>
                <w:color w:val="000000"/>
                <w:sz w:val="24"/>
                <w:szCs w:val="28"/>
              </w:rPr>
              <w:t>ів</w:t>
            </w:r>
            <w:r w:rsidRPr="0076734E">
              <w:rPr>
                <w:color w:val="000000"/>
                <w:sz w:val="24"/>
                <w:szCs w:val="28"/>
              </w:rPr>
              <w:t xml:space="preserve"> та додатков</w:t>
            </w:r>
            <w:r>
              <w:rPr>
                <w:color w:val="000000"/>
                <w:sz w:val="24"/>
                <w:szCs w:val="28"/>
              </w:rPr>
              <w:t>их угод, предмет яких належить до компетенції відділу,</w:t>
            </w:r>
            <w:r w:rsidRPr="0076734E">
              <w:rPr>
                <w:color w:val="000000"/>
                <w:sz w:val="24"/>
                <w:szCs w:val="28"/>
              </w:rPr>
              <w:t xml:space="preserve"> та здійснює кон</w:t>
            </w:r>
            <w:r>
              <w:rPr>
                <w:color w:val="000000"/>
                <w:sz w:val="24"/>
                <w:szCs w:val="28"/>
              </w:rPr>
              <w:t>троль за належним їх виконанням</w:t>
            </w:r>
            <w:r>
              <w:rPr>
                <w:color w:val="000000"/>
                <w:sz w:val="24"/>
                <w:szCs w:val="28"/>
                <w:lang w:val="ru-RU"/>
              </w:rPr>
              <w:t>;</w:t>
            </w:r>
          </w:p>
          <w:p w:rsidR="00CB3C06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 к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онтролює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302C">
              <w:rPr>
                <w:color w:val="000000"/>
                <w:sz w:val="24"/>
                <w:szCs w:val="24"/>
                <w:shd w:val="clear" w:color="auto" w:fill="FFFFFF"/>
              </w:rPr>
              <w:t>належн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302C">
              <w:rPr>
                <w:color w:val="000000"/>
                <w:sz w:val="24"/>
                <w:szCs w:val="24"/>
                <w:shd w:val="clear" w:color="auto" w:fill="FFFFFF"/>
              </w:rPr>
              <w:t xml:space="preserve"> оформлення документів та сплат, що підтверджують виконання робіт і здійснення витрат відповідно до укладених угод, контрактів та договорів на поставку та виконання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робіт підрядними організаціями</w:t>
            </w:r>
            <w:r w:rsidR="00CB3C06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5168" w:rsidRPr="00CB3C06" w:rsidRDefault="00055168" w:rsidP="00CB3C06">
            <w:pPr>
              <w:pStyle w:val="a4"/>
              <w:numPr>
                <w:ilvl w:val="0"/>
                <w:numId w:val="7"/>
              </w:numPr>
              <w:tabs>
                <w:tab w:val="left" w:pos="1560"/>
              </w:tabs>
              <w:spacing w:line="276" w:lineRule="auto"/>
              <w:ind w:left="5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оформляє документацію, що підтверджує виконання робіт підрядними організаціями (відповідно до укладених угод контрактів та договорів на поставку) і здійснення витрат; </w:t>
            </w:r>
          </w:p>
          <w:p w:rsidR="00055168" w:rsidRPr="00CB3C06" w:rsidRDefault="00055168" w:rsidP="00CB3C06">
            <w:pPr>
              <w:pStyle w:val="a4"/>
              <w:numPr>
                <w:ilvl w:val="0"/>
                <w:numId w:val="7"/>
              </w:numPr>
              <w:tabs>
                <w:tab w:val="left" w:pos="1560"/>
              </w:tabs>
              <w:spacing w:line="276" w:lineRule="auto"/>
              <w:ind w:left="5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вживає коригуючі заходи щодо забезпечення ефективного виконання договірних зобов’язань підрядними організаціями;</w:t>
            </w:r>
          </w:p>
          <w:p w:rsidR="00055168" w:rsidRPr="00CB3C06" w:rsidRDefault="00055168" w:rsidP="00CB3C06">
            <w:pPr>
              <w:pStyle w:val="a4"/>
              <w:numPr>
                <w:ilvl w:val="0"/>
                <w:numId w:val="7"/>
              </w:numPr>
              <w:tabs>
                <w:tab w:val="left" w:pos="1560"/>
              </w:tabs>
              <w:spacing w:line="276" w:lineRule="auto"/>
              <w:ind w:left="5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 участь у підготовці претензій до постачальників у разі порушення ними договірних зобов’язань;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="00CB3C06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sz w:val="24"/>
                <w:szCs w:val="24"/>
              </w:rPr>
              <w:t>ере участь</w:t>
            </w:r>
            <w:r w:rsidRPr="00291670">
              <w:rPr>
                <w:sz w:val="24"/>
                <w:szCs w:val="24"/>
              </w:rPr>
              <w:t xml:space="preserve"> </w:t>
            </w:r>
            <w:r w:rsidRPr="00A60529">
              <w:rPr>
                <w:color w:val="000000"/>
                <w:sz w:val="24"/>
                <w:szCs w:val="24"/>
              </w:rPr>
              <w:t xml:space="preserve">у розробці генерального плану розвитку інженерних </w:t>
            </w:r>
            <w:r>
              <w:rPr>
                <w:color w:val="000000"/>
                <w:sz w:val="24"/>
                <w:szCs w:val="24"/>
              </w:rPr>
              <w:t>систем</w:t>
            </w:r>
            <w:r w:rsidRPr="00A60529">
              <w:rPr>
                <w:color w:val="000000"/>
                <w:sz w:val="24"/>
                <w:szCs w:val="24"/>
              </w:rPr>
              <w:t xml:space="preserve"> будівлі НСЗУ, планів реконструкції і утримання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бере участь</w:t>
            </w:r>
            <w:r w:rsidRPr="00291670">
              <w:rPr>
                <w:sz w:val="24"/>
                <w:szCs w:val="24"/>
              </w:rPr>
              <w:t xml:space="preserve"> </w:t>
            </w:r>
            <w:r w:rsidRPr="00A60529"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60529">
              <w:rPr>
                <w:color w:val="000000"/>
                <w:sz w:val="24"/>
                <w:szCs w:val="24"/>
              </w:rPr>
              <w:t>изна</w:t>
            </w:r>
            <w:r>
              <w:rPr>
                <w:color w:val="000000"/>
                <w:sz w:val="24"/>
                <w:szCs w:val="24"/>
              </w:rPr>
              <w:t>ченні</w:t>
            </w:r>
            <w:r w:rsidRPr="00A60529">
              <w:rPr>
                <w:color w:val="000000"/>
                <w:sz w:val="24"/>
                <w:szCs w:val="24"/>
              </w:rPr>
              <w:t xml:space="preserve"> потреби у фінансуванні необхідних робіт з інженерно-технічного забезпечення систем та споруд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55168" w:rsidRDefault="00055168" w:rsidP="00CB3C06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в</w:t>
            </w:r>
            <w:r>
              <w:rPr>
                <w:color w:val="000000"/>
                <w:sz w:val="24"/>
                <w:szCs w:val="28"/>
              </w:rPr>
              <w:t xml:space="preserve">иявляє потреби НСЗУ в тепло- та </w:t>
            </w:r>
            <w:proofErr w:type="spellStart"/>
            <w:r>
              <w:rPr>
                <w:color w:val="000000"/>
                <w:sz w:val="24"/>
                <w:szCs w:val="28"/>
              </w:rPr>
              <w:t>водоресурсах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, вносить пропозиції технічного розвитку, реконструкції та модернізації систем теплопостачання, </w:t>
            </w:r>
            <w:r>
              <w:rPr>
                <w:color w:val="000000"/>
                <w:sz w:val="24"/>
                <w:szCs w:val="24"/>
              </w:rPr>
              <w:t xml:space="preserve">водопостачання та </w:t>
            </w:r>
            <w:r>
              <w:rPr>
                <w:color w:val="000000"/>
                <w:sz w:val="24"/>
                <w:szCs w:val="24"/>
              </w:rPr>
              <w:lastRenderedPageBreak/>
              <w:t>водовідведення</w:t>
            </w:r>
            <w:r w:rsidRPr="005C6F0C">
              <w:rPr>
                <w:color w:val="000000"/>
                <w:sz w:val="24"/>
                <w:szCs w:val="24"/>
              </w:rPr>
              <w:t xml:space="preserve"> (внутрішніх та зовнішніх) в будівлі та на території НСЗУ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55168" w:rsidRPr="00055168" w:rsidRDefault="00055168" w:rsidP="006C04DB">
            <w:pPr>
              <w:tabs>
                <w:tab w:val="left" w:pos="1560"/>
              </w:tabs>
              <w:ind w:left="1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н</w:t>
            </w:r>
            <w:r w:rsidRPr="0076734E">
              <w:rPr>
                <w:color w:val="000000"/>
                <w:sz w:val="24"/>
                <w:szCs w:val="28"/>
              </w:rPr>
              <w:t>адає на розгляд Тендерному комітету</w:t>
            </w:r>
            <w:r>
              <w:rPr>
                <w:color w:val="000000"/>
                <w:sz w:val="24"/>
                <w:szCs w:val="28"/>
              </w:rPr>
              <w:t xml:space="preserve"> НСЗУ</w:t>
            </w:r>
            <w:r w:rsidRPr="0076734E">
              <w:rPr>
                <w:color w:val="000000"/>
                <w:sz w:val="24"/>
                <w:szCs w:val="28"/>
              </w:rPr>
              <w:t xml:space="preserve"> усі необхідні матеріали, що стосуються здійснення закупівлі робіт/послуг спрямованих на забезпечення інженерно-технічних потреб НСЗУ</w:t>
            </w:r>
            <w:r>
              <w:rPr>
                <w:color w:val="000000"/>
                <w:sz w:val="24"/>
                <w:szCs w:val="28"/>
              </w:rPr>
              <w:t xml:space="preserve"> в межах своєї компетенції</w:t>
            </w:r>
            <w:r w:rsidR="00CB3C06">
              <w:rPr>
                <w:color w:val="000000"/>
                <w:sz w:val="24"/>
                <w:szCs w:val="28"/>
              </w:rPr>
              <w:t>.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47" w:type="pct"/>
          </w:tcPr>
          <w:p w:rsidR="002D3003" w:rsidRPr="00D91231" w:rsidRDefault="002D3003" w:rsidP="004C1FE1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2D3003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3003" w:rsidRPr="00FD11AB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47" w:type="pct"/>
          </w:tcPr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47" w:type="pct"/>
          </w:tcPr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300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3003" w:rsidRPr="0028117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03" w:rsidRPr="00D3154A" w:rsidRDefault="002D3003" w:rsidP="004C1FE1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</w:t>
            </w:r>
            <w:r w:rsidRPr="00D3154A">
              <w:lastRenderedPageBreak/>
              <w:t xml:space="preserve">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3003" w:rsidRPr="00FB2759" w:rsidRDefault="002D3003" w:rsidP="004C1FE1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2D3003" w:rsidRPr="00D3154A" w:rsidRDefault="002D3003" w:rsidP="006C04DB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</w:t>
            </w:r>
            <w:r>
              <w:t>7 </w:t>
            </w:r>
            <w:r w:rsidRPr="00685A94">
              <w:t xml:space="preserve">год </w:t>
            </w:r>
            <w:r>
              <w:t>00 </w:t>
            </w:r>
            <w:r w:rsidRPr="00685A94">
              <w:t xml:space="preserve">хв </w:t>
            </w:r>
            <w:r w:rsidR="006C04DB" w:rsidRPr="006C04DB">
              <w:rPr>
                <w:shd w:val="clear" w:color="auto" w:fill="FFFFFF" w:themeFill="background1"/>
              </w:rPr>
              <w:t>28</w:t>
            </w:r>
            <w:r w:rsidRPr="006C04DB">
              <w:rPr>
                <w:shd w:val="clear" w:color="auto" w:fill="FFFFFF" w:themeFill="background1"/>
              </w:rPr>
              <w:t xml:space="preserve"> жовтня                     2021 року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47" w:type="pct"/>
          </w:tcPr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47" w:type="pct"/>
          </w:tcPr>
          <w:p w:rsidR="002D3003" w:rsidRPr="00D3154A" w:rsidRDefault="006C04DB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C04DB">
              <w:rPr>
                <w:sz w:val="24"/>
                <w:szCs w:val="24"/>
              </w:rPr>
              <w:t>01</w:t>
            </w:r>
            <w:r w:rsidR="002D3003" w:rsidRPr="006C04DB">
              <w:rPr>
                <w:sz w:val="24"/>
                <w:szCs w:val="24"/>
              </w:rPr>
              <w:t xml:space="preserve"> </w:t>
            </w:r>
            <w:r w:rsidRPr="006C04D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истопада</w:t>
            </w:r>
            <w:r w:rsidR="002D3003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2D3003" w:rsidRDefault="002D300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3003" w:rsidRPr="00D3154A" w:rsidRDefault="002D300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D3003" w:rsidRPr="00CD6C39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3003" w:rsidRPr="00D3154A" w:rsidRDefault="002D3003" w:rsidP="004C1FE1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3003" w:rsidRPr="00ED5991" w:rsidTr="00055168">
        <w:trPr>
          <w:trHeight w:val="1609"/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47" w:type="pct"/>
          </w:tcPr>
          <w:p w:rsidR="002D3003" w:rsidRPr="00ED5991" w:rsidRDefault="000F6B0A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DA0AC7" w:rsidRDefault="002D300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47" w:type="pct"/>
          </w:tcPr>
          <w:p w:rsidR="002D3003" w:rsidRPr="00DA0AC7" w:rsidRDefault="002D3003" w:rsidP="000F6B0A">
            <w:pPr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0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47" w:type="pct"/>
          </w:tcPr>
          <w:p w:rsidR="002D3003" w:rsidRPr="00DA0AC7" w:rsidRDefault="002D3003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10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47" w:type="pct"/>
          </w:tcPr>
          <w:p w:rsidR="002D3003" w:rsidRDefault="002D300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2D3003" w:rsidRPr="00DA0AC7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0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47" w:type="pct"/>
          </w:tcPr>
          <w:p w:rsidR="002D3003" w:rsidRDefault="002D3003" w:rsidP="004C1F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2D3003" w:rsidRPr="00DA0AC7" w:rsidRDefault="002D300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7" w:type="pct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055168">
        <w:trPr>
          <w:trHeight w:val="190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3003" w:rsidRPr="00ED5991" w:rsidTr="00055168">
        <w:trPr>
          <w:trHeight w:val="1898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D3003" w:rsidRPr="00ED5991" w:rsidTr="00055168">
        <w:trPr>
          <w:trHeight w:val="147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2D3003" w:rsidRPr="00ED5991" w:rsidTr="00055168">
        <w:trPr>
          <w:trHeight w:val="1337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888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7" w:type="pct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47" w:type="pct"/>
          </w:tcPr>
          <w:p w:rsidR="002D3003" w:rsidRPr="00E42A3F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3003" w:rsidRPr="00ED3784" w:rsidRDefault="002D3003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A1712" w:rsidRPr="00ED5991" w:rsidTr="00055168">
        <w:trPr>
          <w:tblCellSpacing w:w="22" w:type="dxa"/>
        </w:trPr>
        <w:tc>
          <w:tcPr>
            <w:tcW w:w="157" w:type="pct"/>
          </w:tcPr>
          <w:p w:rsidR="00CA1712" w:rsidRPr="00ED5991" w:rsidRDefault="00CA1712" w:rsidP="00CA171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0" w:type="pct"/>
          </w:tcPr>
          <w:p w:rsidR="00CA1712" w:rsidRPr="00ED5991" w:rsidRDefault="00CA1712" w:rsidP="00CA171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47" w:type="pct"/>
          </w:tcPr>
          <w:p w:rsidR="00CA1712" w:rsidRPr="009D68D6" w:rsidRDefault="00CA1712" w:rsidP="00CA171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:rsidR="00CA1712" w:rsidRPr="009964AA" w:rsidRDefault="00CA1712" w:rsidP="00CA1712">
            <w:pPr>
              <w:pStyle w:val="a4"/>
              <w:numPr>
                <w:ilvl w:val="0"/>
                <w:numId w:val="5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A1712" w:rsidRPr="009964AA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публічні закупівлі”;</w:t>
            </w:r>
          </w:p>
          <w:p w:rsidR="00CA1712" w:rsidRPr="009964AA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публічну інформацію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”;</w:t>
            </w:r>
          </w:p>
          <w:p w:rsidR="00CA1712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об’єктами державної власності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”;</w:t>
            </w:r>
          </w:p>
          <w:p w:rsidR="00CA1712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Закону України “Про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регулювання містобудівної діяльності</w:t>
            </w:r>
            <w:r w:rsidRPr="00CA1712">
              <w:rPr>
                <w:rFonts w:ascii="Times New Roman" w:hAnsi="Times New Roman"/>
                <w:color w:val="000000"/>
                <w:sz w:val="24"/>
                <w:szCs w:val="24"/>
              </w:rPr>
              <w:t>”;</w:t>
            </w:r>
          </w:p>
          <w:p w:rsidR="00CA1712" w:rsidRPr="00CA1712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lastRenderedPageBreak/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27.12.2017                   № 1101 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Про утворення Національної служби здоров’я України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A1712" w:rsidRPr="00CA1712" w:rsidRDefault="00CA1712" w:rsidP="00CA1712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EC6">
              <w:rPr>
                <w:rFonts w:ascii="Times New Roman" w:hAnsi="Times New Roman"/>
                <w:sz w:val="24"/>
                <w:szCs w:val="24"/>
              </w:rPr>
              <w:t xml:space="preserve">Постанови 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13.04.2011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461 </w:t>
            </w:r>
            <w:r w:rsidR="005F6EC6" w:rsidRPr="005F6EC6">
              <w:rPr>
                <w:rFonts w:ascii="Times New Roman" w:hAnsi="Times New Roman"/>
                <w:sz w:val="24"/>
                <w:szCs w:val="24"/>
              </w:rPr>
              <w:t>“</w:t>
            </w:r>
            <w:r w:rsidR="005F6EC6" w:rsidRPr="009964AA">
              <w:rPr>
                <w:rFonts w:ascii="Times New Roman" w:hAnsi="Times New Roman"/>
                <w:sz w:val="24"/>
                <w:szCs w:val="24"/>
              </w:rPr>
              <w:t>П</w:t>
            </w:r>
            <w:r w:rsidR="005F6EC6">
              <w:rPr>
                <w:rFonts w:ascii="Times New Roman" w:hAnsi="Times New Roman"/>
                <w:sz w:val="24"/>
                <w:szCs w:val="24"/>
              </w:rPr>
              <w:t>итання прийняття в експлуатацію закінчених будівництвом об’єктів</w:t>
            </w:r>
            <w:r w:rsidR="005F6EC6" w:rsidRPr="005F6EC6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CA1712" w:rsidRPr="005F6EC6" w:rsidRDefault="005F6EC6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6EC6">
              <w:rPr>
                <w:rFonts w:ascii="Times New Roman" w:hAnsi="Times New Roman"/>
                <w:sz w:val="24"/>
                <w:szCs w:val="24"/>
              </w:rPr>
              <w:t xml:space="preserve">Постанови 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13.04.2011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466 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Деякі питання виконання підготовчих і будівельних робіт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5F6EC6" w:rsidRPr="005F6EC6" w:rsidRDefault="005F6EC6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6EC6">
              <w:rPr>
                <w:rFonts w:ascii="Times New Roman" w:hAnsi="Times New Roman"/>
                <w:sz w:val="24"/>
                <w:szCs w:val="24"/>
              </w:rPr>
              <w:t xml:space="preserve">Постанови 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17.01.2018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55 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Деякі питання документування управлінської діяльності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5F6EC6" w:rsidRPr="005F6EC6" w:rsidRDefault="005F6EC6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6EC6">
              <w:rPr>
                <w:rFonts w:ascii="Times New Roman" w:hAnsi="Times New Roman"/>
                <w:sz w:val="24"/>
                <w:szCs w:val="24"/>
              </w:rPr>
              <w:t xml:space="preserve">Постанови 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07.06.2017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406 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затвердження переліку будівельних робіт, які не потребують документів, що дають право на їх виконання та після закінчення яких об’єкт не підлягає прийняттю в експлуатацію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5F6EC6" w:rsidRDefault="005F6EC6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6EC6">
              <w:rPr>
                <w:rFonts w:ascii="Times New Roman" w:hAnsi="Times New Roman"/>
                <w:sz w:val="24"/>
                <w:szCs w:val="24"/>
              </w:rPr>
              <w:t xml:space="preserve">Постанови 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08.11.2007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1314 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затвердження Порядку списання об’єктів державної власності</w:t>
            </w:r>
            <w:r w:rsidRPr="005F6EC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2D3003" w:rsidRPr="00ED5991" w:rsidTr="00055168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10" w:type="pct"/>
            <w:shd w:val="clear" w:color="auto" w:fill="auto"/>
          </w:tcPr>
          <w:p w:rsidR="002D3003" w:rsidRDefault="002D3003" w:rsidP="005F6EC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 w:rsidR="005F6EC6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належної організації інженерно-технічного забезпечення технічних пристроїв та споруд НСЗУ</w:t>
            </w:r>
          </w:p>
        </w:tc>
        <w:tc>
          <w:tcPr>
            <w:tcW w:w="3047" w:type="pct"/>
            <w:shd w:val="clear" w:color="auto" w:fill="auto"/>
          </w:tcPr>
          <w:p w:rsidR="00055168" w:rsidRDefault="00055168" w:rsidP="004C1FE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C6F0C">
              <w:rPr>
                <w:color w:val="000000"/>
                <w:sz w:val="24"/>
                <w:szCs w:val="24"/>
              </w:rPr>
              <w:t>абезпечення надійного, ефективного функціонування, оперативного контролю технічного стану систем</w:t>
            </w:r>
            <w:r>
              <w:rPr>
                <w:color w:val="000000"/>
                <w:sz w:val="24"/>
                <w:szCs w:val="24"/>
              </w:rPr>
              <w:t xml:space="preserve"> теплопостачання, водопостачання та водовідведення</w:t>
            </w:r>
            <w:r w:rsidRPr="005C6F0C">
              <w:rPr>
                <w:color w:val="000000"/>
                <w:sz w:val="24"/>
                <w:szCs w:val="24"/>
              </w:rPr>
              <w:t xml:space="preserve"> (внутрішніх та зовнішніх) в будівлі та на території НСЗУ</w:t>
            </w:r>
          </w:p>
        </w:tc>
      </w:tr>
    </w:tbl>
    <w:p w:rsidR="002D3003" w:rsidRPr="00ED5991" w:rsidRDefault="002D3003" w:rsidP="002D3003">
      <w:pPr>
        <w:spacing w:line="240" w:lineRule="auto"/>
      </w:pPr>
    </w:p>
    <w:p w:rsidR="002D3003" w:rsidRPr="00401739" w:rsidRDefault="002D3003" w:rsidP="002D3003"/>
    <w:p w:rsidR="002D3003" w:rsidRDefault="002D3003" w:rsidP="002D3003"/>
    <w:p w:rsidR="002D3003" w:rsidRDefault="002D3003" w:rsidP="002D3003"/>
    <w:p w:rsidR="002D3003" w:rsidRDefault="002D3003" w:rsidP="002D3003"/>
    <w:p w:rsidR="002D3003" w:rsidRDefault="002D3003" w:rsidP="002D3003"/>
    <w:p w:rsidR="00D465EF" w:rsidRPr="002D3003" w:rsidRDefault="000F6B0A" w:rsidP="002D3003"/>
    <w:sectPr w:rsidR="00D465EF" w:rsidRPr="002D3003" w:rsidSect="000F6B0A">
      <w:pgSz w:w="11906" w:h="16838"/>
      <w:pgMar w:top="567" w:right="426" w:bottom="851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F6B0A"/>
    <w:rsid w:val="002D3003"/>
    <w:rsid w:val="005F6EC6"/>
    <w:rsid w:val="00655AC2"/>
    <w:rsid w:val="006C04DB"/>
    <w:rsid w:val="00906BE3"/>
    <w:rsid w:val="00A96878"/>
    <w:rsid w:val="00B725A4"/>
    <w:rsid w:val="00BF0546"/>
    <w:rsid w:val="00CA1712"/>
    <w:rsid w:val="00CB3C06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E81D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6356</Words>
  <Characters>3623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5</cp:revision>
  <dcterms:created xsi:type="dcterms:W3CDTF">2021-10-04T09:24:00Z</dcterms:created>
  <dcterms:modified xsi:type="dcterms:W3CDTF">2021-10-21T14:35:00Z</dcterms:modified>
</cp:coreProperties>
</file>