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E37DA6" w:rsidRPr="00ED5991" w:rsidTr="005C06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DA6" w:rsidRPr="00B91378" w:rsidRDefault="00E37DA6" w:rsidP="005C069C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 2</w:t>
            </w:r>
          </w:p>
          <w:p w:rsidR="00E37DA6" w:rsidRPr="00B91378" w:rsidRDefault="00E37DA6" w:rsidP="005C069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E37DA6" w:rsidRPr="00B91378" w:rsidRDefault="00E37DA6" w:rsidP="005C069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E37DA6" w:rsidRPr="00ED5991" w:rsidRDefault="00E37DA6" w:rsidP="001935B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 xml:space="preserve">від </w:t>
            </w:r>
            <w:r w:rsidR="001935BE">
              <w:rPr>
                <w:color w:val="000000"/>
                <w:sz w:val="24"/>
                <w:szCs w:val="24"/>
              </w:rPr>
              <w:t>22.09.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1935BE">
              <w:rPr>
                <w:sz w:val="24"/>
                <w:szCs w:val="24"/>
              </w:rPr>
              <w:t>600</w:t>
            </w:r>
            <w:r w:rsidRPr="00D3154A">
              <w:rPr>
                <w:sz w:val="24"/>
                <w:szCs w:val="24"/>
              </w:rPr>
              <w:t>-к</w:t>
            </w:r>
          </w:p>
        </w:tc>
      </w:tr>
    </w:tbl>
    <w:p w:rsidR="00E37DA6" w:rsidRPr="00ED5991" w:rsidRDefault="00E37DA6" w:rsidP="00E37DA6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E37DA6" w:rsidRPr="00EC6E74" w:rsidRDefault="00E37DA6" w:rsidP="00E37DA6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E37DA6" w:rsidRPr="00EC6E74" w:rsidRDefault="00E37DA6" w:rsidP="00E37DA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613AA2" w:rsidRDefault="00E37DA6" w:rsidP="00E37DA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5A258F">
        <w:rPr>
          <w:rFonts w:ascii="Times New Roman" w:hAnsi="Times New Roman"/>
          <w:sz w:val="24"/>
          <w:szCs w:val="24"/>
        </w:rPr>
        <w:t>головн</w:t>
      </w:r>
      <w:r>
        <w:rPr>
          <w:rFonts w:ascii="Times New Roman" w:hAnsi="Times New Roman"/>
          <w:sz w:val="24"/>
          <w:szCs w:val="24"/>
        </w:rPr>
        <w:t>ого</w:t>
      </w:r>
      <w:r w:rsidRPr="005A258F">
        <w:rPr>
          <w:rFonts w:ascii="Times New Roman" w:hAnsi="Times New Roman"/>
          <w:sz w:val="24"/>
          <w:szCs w:val="24"/>
        </w:rPr>
        <w:t xml:space="preserve"> </w:t>
      </w:r>
      <w:r w:rsidRPr="009D2BDD">
        <w:rPr>
          <w:rFonts w:ascii="Times New Roman" w:hAnsi="Times New Roman"/>
          <w:sz w:val="24"/>
          <w:szCs w:val="24"/>
        </w:rPr>
        <w:t xml:space="preserve">спеціаліста відділу договірної роботи управління у </w:t>
      </w:r>
      <w:r w:rsidRPr="00E37DA6">
        <w:rPr>
          <w:rFonts w:ascii="Times New Roman" w:hAnsi="Times New Roman"/>
          <w:sz w:val="24"/>
          <w:szCs w:val="24"/>
        </w:rPr>
        <w:t xml:space="preserve">Запорізькій області </w:t>
      </w:r>
    </w:p>
    <w:p w:rsidR="00E37DA6" w:rsidRDefault="00E37DA6" w:rsidP="00E37DA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37DA6">
        <w:rPr>
          <w:rFonts w:ascii="Times New Roman" w:hAnsi="Times New Roman"/>
          <w:sz w:val="24"/>
          <w:szCs w:val="24"/>
        </w:rPr>
        <w:t>Східного</w:t>
      </w:r>
      <w:r w:rsidRPr="009D2BDD">
        <w:rPr>
          <w:rFonts w:ascii="Times New Roman" w:hAnsi="Times New Roman"/>
          <w:sz w:val="24"/>
          <w:szCs w:val="24"/>
        </w:rPr>
        <w:t xml:space="preserve"> міжрегіонального департаменту</w:t>
      </w:r>
    </w:p>
    <w:p w:rsidR="00E37DA6" w:rsidRPr="00E37DA6" w:rsidRDefault="00E37DA6" w:rsidP="00E37DA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444"/>
        <w:gridCol w:w="6376"/>
      </w:tblGrid>
      <w:tr w:rsidR="00E37DA6" w:rsidRPr="00ED5991" w:rsidTr="005C069C">
        <w:trPr>
          <w:tblCellSpacing w:w="22" w:type="dxa"/>
        </w:trPr>
        <w:tc>
          <w:tcPr>
            <w:tcW w:w="4957" w:type="pct"/>
            <w:gridSpan w:val="3"/>
          </w:tcPr>
          <w:p w:rsidR="00E37DA6" w:rsidRPr="00ED5991" w:rsidRDefault="00E37DA6" w:rsidP="005C069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838" w:type="pct"/>
            <w:gridSpan w:val="2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97" w:type="pct"/>
            <w:shd w:val="clear" w:color="auto" w:fill="auto"/>
          </w:tcPr>
          <w:p w:rsidR="00E37DA6" w:rsidRPr="00070828" w:rsidRDefault="00E37DA6" w:rsidP="005C069C">
            <w:pPr>
              <w:pStyle w:val="a4"/>
              <w:numPr>
                <w:ilvl w:val="2"/>
                <w:numId w:val="3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>проводить підготовчу роботу щодо укладення, зміни та припинення договорів щодо надання первинної, спеціалізованої, високоспеціалізованої, екстреної, паліативної медичної допомоги та реабілітації (далі – договор</w:t>
            </w:r>
            <w:r w:rsidR="00A56C2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0828">
              <w:rPr>
                <w:rFonts w:ascii="Times New Roman" w:hAnsi="Times New Roman"/>
                <w:sz w:val="24"/>
                <w:szCs w:val="24"/>
              </w:rPr>
              <w:t xml:space="preserve"> про медичне обслуговування населення), договорів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 xml:space="preserve"> в регіоні;</w:t>
            </w:r>
          </w:p>
          <w:p w:rsidR="00E37DA6" w:rsidRPr="00070828" w:rsidRDefault="00E37DA6" w:rsidP="005C069C">
            <w:pPr>
              <w:pStyle w:val="a4"/>
              <w:numPr>
                <w:ilvl w:val="2"/>
                <w:numId w:val="3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проводить консультації з надавачами медичних послуг та аптечними закладами щодо порядку та умов укладення, зміни та припинення договорів про медичне обслуговування населення та договорів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7DA6" w:rsidRPr="00070828" w:rsidRDefault="00E37DA6" w:rsidP="005C069C">
            <w:pPr>
              <w:pStyle w:val="a4"/>
              <w:numPr>
                <w:ilvl w:val="2"/>
                <w:numId w:val="3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здійснює супровід укладених договорів про медичне обслуговування населення та договорів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7DA6" w:rsidRPr="00070828" w:rsidRDefault="00E37DA6" w:rsidP="005C069C">
            <w:pPr>
              <w:pStyle w:val="a4"/>
              <w:numPr>
                <w:ilvl w:val="2"/>
                <w:numId w:val="3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здійснює контроль актуальності даних в договорах про медичне обслуговування населення та договорах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 xml:space="preserve"> у відповідних реєстрах;</w:t>
            </w:r>
          </w:p>
          <w:p w:rsidR="00E37DA6" w:rsidRPr="00070828" w:rsidRDefault="00E37DA6" w:rsidP="005C069C">
            <w:pPr>
              <w:pStyle w:val="a4"/>
              <w:numPr>
                <w:ilvl w:val="2"/>
                <w:numId w:val="3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>взаємодіє з надавачами медичних послуг та аптечними закладами у регіоні з питань, що належать до компетенції відділу;</w:t>
            </w:r>
          </w:p>
          <w:p w:rsidR="00E37DA6" w:rsidRPr="00070828" w:rsidRDefault="00E37DA6" w:rsidP="005C069C">
            <w:pPr>
              <w:pStyle w:val="a4"/>
              <w:numPr>
                <w:ilvl w:val="2"/>
                <w:numId w:val="3"/>
              </w:numP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опрацьовує заперечення, що надходять під час супроводу договорів про медичне обслуговування населення та договорів про </w:t>
            </w:r>
            <w:proofErr w:type="spellStart"/>
            <w:r w:rsidRPr="00070828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708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7DA6" w:rsidRPr="009D2BDD" w:rsidRDefault="00E37DA6" w:rsidP="00E37DA6">
            <w:pPr>
              <w:pStyle w:val="a4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6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828">
              <w:rPr>
                <w:rFonts w:ascii="Times New Roman" w:hAnsi="Times New Roman"/>
                <w:sz w:val="24"/>
                <w:szCs w:val="24"/>
              </w:rPr>
              <w:t xml:space="preserve">здійснює систематизацію та первинну обробку запитів надавачів медичних послуг та аптечних закладів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70828">
              <w:rPr>
                <w:rFonts w:ascii="Times New Roman" w:hAnsi="Times New Roman"/>
                <w:sz w:val="24"/>
                <w:szCs w:val="24"/>
              </w:rPr>
              <w:t xml:space="preserve"> регіоні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838" w:type="pct"/>
            <w:gridSpan w:val="2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97" w:type="pct"/>
          </w:tcPr>
          <w:p w:rsidR="00E37DA6" w:rsidRPr="00D91231" w:rsidRDefault="00E37DA6" w:rsidP="005C069C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>
              <w:t>5</w:t>
            </w:r>
            <w:r w:rsidRPr="00E14126">
              <w:t xml:space="preserve"> 500 грн</w:t>
            </w:r>
            <w:r w:rsidRPr="001E6C65">
              <w:t>;</w:t>
            </w:r>
          </w:p>
          <w:p w:rsidR="00E37DA6" w:rsidRDefault="00E37DA6" w:rsidP="005C069C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E37DA6" w:rsidRPr="00FD11AB" w:rsidRDefault="00E37DA6" w:rsidP="005C069C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838" w:type="pct"/>
            <w:gridSpan w:val="2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97" w:type="pct"/>
          </w:tcPr>
          <w:p w:rsidR="00E37DA6" w:rsidRDefault="00E37DA6" w:rsidP="005C069C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E37DA6" w:rsidRDefault="00E37DA6" w:rsidP="005C069C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E37DA6" w:rsidRPr="00ED5991" w:rsidRDefault="00E37DA6" w:rsidP="005C069C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838" w:type="pct"/>
            <w:gridSpan w:val="2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97" w:type="pct"/>
          </w:tcPr>
          <w:p w:rsidR="00613AA2" w:rsidRPr="00416ED7" w:rsidRDefault="00613AA2" w:rsidP="00613A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>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13AA2" w:rsidRPr="00416ED7" w:rsidRDefault="00613AA2" w:rsidP="00613A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613AA2" w:rsidRPr="00416ED7" w:rsidRDefault="00613AA2" w:rsidP="00613A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613AA2" w:rsidRPr="00416ED7" w:rsidRDefault="00613AA2" w:rsidP="00613A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613AA2" w:rsidRPr="00416ED7" w:rsidRDefault="00613AA2" w:rsidP="00613A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613AA2" w:rsidRPr="00416ED7" w:rsidRDefault="00613AA2" w:rsidP="00613A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613AA2" w:rsidRDefault="00613AA2" w:rsidP="00613A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наченого Закону; </w:t>
            </w:r>
          </w:p>
          <w:p w:rsidR="00613AA2" w:rsidRDefault="00613AA2" w:rsidP="00613A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613AA2" w:rsidRPr="00281173" w:rsidRDefault="00613AA2" w:rsidP="00613A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E37DA6" w:rsidRPr="00416ED7" w:rsidRDefault="00E37DA6" w:rsidP="005C069C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DA6" w:rsidRPr="00416ED7" w:rsidRDefault="00E37DA6" w:rsidP="005C069C">
            <w:pPr>
              <w:spacing w:line="240" w:lineRule="auto"/>
              <w:ind w:firstLine="284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16ED7">
              <w:rPr>
                <w:sz w:val="24"/>
                <w:szCs w:val="24"/>
              </w:rPr>
              <w:t>Особа, яка бажає взяти участь у конкурсі, може подат</w:t>
            </w:r>
            <w:r>
              <w:rPr>
                <w:sz w:val="24"/>
                <w:szCs w:val="24"/>
              </w:rPr>
              <w:t xml:space="preserve">и конкурсній комісії інформацію </w:t>
            </w:r>
            <w:r w:rsidRPr="00416ED7">
              <w:rPr>
                <w:sz w:val="24"/>
                <w:szCs w:val="24"/>
              </w:rPr>
              <w:t xml:space="preserve">через Єдиний портал вакансій державної служби за посиланням </w:t>
            </w:r>
            <w:hyperlink r:id="rId5" w:history="1">
              <w:r w:rsidRPr="000A6E98">
                <w:rPr>
                  <w:rStyle w:val="a3"/>
                  <w:rFonts w:eastAsiaTheme="majorEastAsia"/>
                  <w:color w:val="000000"/>
                  <w:sz w:val="24"/>
                  <w:szCs w:val="24"/>
                </w:rPr>
                <w:t>https://career.gov.ua/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E37DA6" w:rsidRPr="00416ED7" w:rsidRDefault="00E37DA6" w:rsidP="005C069C">
            <w:pPr>
              <w:spacing w:line="240" w:lineRule="auto"/>
              <w:jc w:val="both"/>
              <w:textAlignment w:val="baseline"/>
              <w:rPr>
                <w:spacing w:val="-6"/>
                <w:sz w:val="24"/>
                <w:szCs w:val="24"/>
              </w:rPr>
            </w:pPr>
          </w:p>
          <w:p w:rsidR="00E37DA6" w:rsidRPr="00ED5991" w:rsidRDefault="00E37DA6" w:rsidP="001935BE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5770C">
              <w:rPr>
                <w:sz w:val="24"/>
                <w:szCs w:val="24"/>
              </w:rPr>
              <w:t xml:space="preserve">Інформація </w:t>
            </w:r>
            <w:r w:rsidRPr="00EC35F0">
              <w:rPr>
                <w:sz w:val="24"/>
                <w:szCs w:val="24"/>
              </w:rPr>
              <w:t xml:space="preserve">приймається до 17 год 00 хв </w:t>
            </w:r>
            <w:r w:rsidR="001935BE">
              <w:rPr>
                <w:sz w:val="24"/>
                <w:szCs w:val="24"/>
              </w:rPr>
              <w:t>21</w:t>
            </w:r>
            <w:r w:rsidRPr="00E37DA6">
              <w:rPr>
                <w:sz w:val="24"/>
                <w:szCs w:val="24"/>
              </w:rPr>
              <w:t xml:space="preserve"> жовтня</w:t>
            </w:r>
            <w:r w:rsidRPr="00EC35F0">
              <w:rPr>
                <w:sz w:val="24"/>
                <w:szCs w:val="24"/>
              </w:rPr>
              <w:t xml:space="preserve"> 2021 року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838" w:type="pct"/>
            <w:gridSpan w:val="2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97" w:type="pct"/>
          </w:tcPr>
          <w:p w:rsidR="00E37DA6" w:rsidRPr="00ED5991" w:rsidRDefault="00E37DA6" w:rsidP="005C069C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9330DA" w:rsidRPr="00ED5991" w:rsidTr="009330DA">
        <w:trPr>
          <w:tblCellSpacing w:w="22" w:type="dxa"/>
        </w:trPr>
        <w:tc>
          <w:tcPr>
            <w:tcW w:w="1838" w:type="pct"/>
            <w:gridSpan w:val="2"/>
          </w:tcPr>
          <w:p w:rsidR="009330DA" w:rsidRDefault="009330DA" w:rsidP="009330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9330DA" w:rsidRDefault="009330DA" w:rsidP="009330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9330DA" w:rsidRDefault="009330DA" w:rsidP="009330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330DA" w:rsidRDefault="009330DA" w:rsidP="009330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330DA" w:rsidRDefault="009330DA" w:rsidP="009330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330DA" w:rsidRDefault="009330DA" w:rsidP="009330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56C2F" w:rsidRDefault="00A56C2F" w:rsidP="009330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330DA" w:rsidRDefault="009330DA" w:rsidP="009330D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330DA" w:rsidRPr="00ED5991" w:rsidRDefault="009330DA" w:rsidP="009330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97" w:type="pct"/>
          </w:tcPr>
          <w:p w:rsidR="009330DA" w:rsidRPr="00D3154A" w:rsidRDefault="001935BE" w:rsidP="009330D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9330DA" w:rsidRPr="00685A94">
              <w:rPr>
                <w:sz w:val="24"/>
                <w:szCs w:val="24"/>
              </w:rPr>
              <w:t xml:space="preserve"> </w:t>
            </w:r>
            <w:r w:rsidR="009330DA">
              <w:rPr>
                <w:sz w:val="24"/>
                <w:szCs w:val="24"/>
              </w:rPr>
              <w:t>жовтня</w:t>
            </w:r>
            <w:r w:rsidR="009330DA" w:rsidRPr="00685A94">
              <w:rPr>
                <w:sz w:val="24"/>
                <w:szCs w:val="24"/>
              </w:rPr>
              <w:t xml:space="preserve"> 2021 року о 10 год 00 хв.</w:t>
            </w:r>
          </w:p>
          <w:p w:rsidR="00A56C2F" w:rsidRDefault="00A56C2F" w:rsidP="009330D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6C2F" w:rsidRDefault="009330DA" w:rsidP="00A56C2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A56C2F" w:rsidRDefault="00A56C2F" w:rsidP="00A56C2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6C2F" w:rsidRDefault="00A56C2F" w:rsidP="00A56C2F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154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</w:p>
          <w:p w:rsidR="009330DA" w:rsidRPr="00D3154A" w:rsidRDefault="009330DA" w:rsidP="009330D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9330DA" w:rsidRPr="00D3154A" w:rsidRDefault="009330DA" w:rsidP="009330D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330DA" w:rsidRDefault="009330DA" w:rsidP="009330D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330DA" w:rsidRDefault="009330DA" w:rsidP="009330D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Проведення</w:t>
            </w:r>
            <w:r w:rsidRPr="00D3154A">
              <w:rPr>
                <w:rFonts w:cs="Times New Roman"/>
                <w:sz w:val="24"/>
                <w:szCs w:val="24"/>
              </w:rPr>
              <w:t xml:space="preserve"> співбесіди </w:t>
            </w: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cs="Times New Roman"/>
                <w:sz w:val="24"/>
                <w:szCs w:val="24"/>
              </w:rPr>
              <w:t>дистанційно</w:t>
            </w:r>
            <w:r w:rsidRPr="00D3154A">
              <w:rPr>
                <w:sz w:val="24"/>
                <w:szCs w:val="24"/>
              </w:rPr>
              <w:t xml:space="preserve"> </w:t>
            </w:r>
            <w:r w:rsidRPr="00D3154A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>) або за фізичної присутності кандидата (м. Київ</w:t>
            </w:r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просп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. Степана Бандери, 19).</w:t>
            </w:r>
          </w:p>
          <w:p w:rsidR="009330DA" w:rsidRPr="00D3154A" w:rsidRDefault="009330DA" w:rsidP="009330D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Інформацію щодо зазначеного формату зустрічі буде </w:t>
            </w:r>
            <w:r w:rsidRPr="00D3154A">
              <w:rPr>
                <w:rFonts w:cs="Times New Roman"/>
                <w:bCs/>
                <w:sz w:val="24"/>
                <w:szCs w:val="24"/>
              </w:rPr>
              <w:t>надано додатково.</w:t>
            </w:r>
          </w:p>
          <w:p w:rsidR="009330DA" w:rsidRPr="00D3154A" w:rsidRDefault="009330DA" w:rsidP="009330DA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838" w:type="pct"/>
            <w:gridSpan w:val="2"/>
          </w:tcPr>
          <w:p w:rsidR="00E37DA6" w:rsidRPr="00ED5991" w:rsidRDefault="00E37DA6" w:rsidP="005C069C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97" w:type="pct"/>
          </w:tcPr>
          <w:p w:rsidR="009330DA" w:rsidRPr="00DA0AC7" w:rsidRDefault="009330DA" w:rsidP="009330DA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E37DA6" w:rsidRPr="00ED5991" w:rsidRDefault="009330DA" w:rsidP="009330D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E37DA6" w:rsidRPr="00ED5991" w:rsidTr="005C069C">
        <w:trPr>
          <w:tblCellSpacing w:w="22" w:type="dxa"/>
        </w:trPr>
        <w:tc>
          <w:tcPr>
            <w:tcW w:w="4957" w:type="pct"/>
            <w:gridSpan w:val="3"/>
          </w:tcPr>
          <w:p w:rsidR="00E37DA6" w:rsidRPr="00DA0AC7" w:rsidRDefault="00E37DA6" w:rsidP="005C069C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97" w:type="pct"/>
          </w:tcPr>
          <w:p w:rsidR="00E37DA6" w:rsidRPr="00DA0AC7" w:rsidRDefault="00E37DA6" w:rsidP="005C069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97" w:type="pct"/>
          </w:tcPr>
          <w:p w:rsidR="00E37DA6" w:rsidRPr="00DA0AC7" w:rsidRDefault="00E37DA6" w:rsidP="005C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97" w:type="pct"/>
          </w:tcPr>
          <w:p w:rsidR="00E37DA6" w:rsidRPr="00DA0AC7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97" w:type="pct"/>
          </w:tcPr>
          <w:p w:rsidR="00E37DA6" w:rsidRPr="00DA0AC7" w:rsidRDefault="00E37DA6" w:rsidP="005C069C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E37DA6" w:rsidRPr="00ED5991" w:rsidTr="005C069C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E37DA6" w:rsidRPr="007A6CCE" w:rsidRDefault="00E37DA6" w:rsidP="005C069C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838" w:type="pct"/>
            <w:gridSpan w:val="2"/>
          </w:tcPr>
          <w:p w:rsidR="00E37DA6" w:rsidRPr="00ED5991" w:rsidRDefault="00E37DA6" w:rsidP="005C069C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97" w:type="pct"/>
          </w:tcPr>
          <w:p w:rsidR="00E37DA6" w:rsidRPr="007A6CCE" w:rsidRDefault="00E37DA6" w:rsidP="005C069C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6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E37DA6" w:rsidRDefault="00E37DA6" w:rsidP="005C069C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E37DA6" w:rsidRPr="007A6CCE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6" w:rsidRPr="007A6CCE" w:rsidRDefault="00E37DA6" w:rsidP="005C069C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DA6" w:rsidRPr="007A6CCE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DA6" w:rsidRPr="007A6CCE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6" w:rsidRPr="007A6CCE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DA6" w:rsidRPr="007A6CCE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DA6" w:rsidRPr="007A6CCE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DA6" w:rsidRPr="007A6CCE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- уміння управляти результатом і бачити прогрес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A6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6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E37DA6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E37DA6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E37DA6" w:rsidRPr="00ED5991" w:rsidTr="005C069C">
        <w:trPr>
          <w:tblCellSpacing w:w="22" w:type="dxa"/>
        </w:trPr>
        <w:tc>
          <w:tcPr>
            <w:tcW w:w="4957" w:type="pct"/>
            <w:gridSpan w:val="3"/>
          </w:tcPr>
          <w:p w:rsidR="00E37DA6" w:rsidRPr="00ED5991" w:rsidRDefault="00E37DA6" w:rsidP="005C069C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838" w:type="pct"/>
            <w:gridSpan w:val="2"/>
          </w:tcPr>
          <w:p w:rsidR="00E37DA6" w:rsidRPr="00ED5991" w:rsidRDefault="00E37DA6" w:rsidP="005C069C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97" w:type="pct"/>
          </w:tcPr>
          <w:p w:rsidR="00E37DA6" w:rsidRPr="00ED5991" w:rsidRDefault="00E37DA6" w:rsidP="005C069C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97" w:type="pct"/>
          </w:tcPr>
          <w:p w:rsidR="00E37DA6" w:rsidRPr="00E42A3F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DA6" w:rsidRPr="00ED5991" w:rsidRDefault="00E37DA6" w:rsidP="005C069C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E37DA6" w:rsidRPr="00ED3784" w:rsidRDefault="00E37DA6" w:rsidP="005C069C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  <w:shd w:val="clear" w:color="auto" w:fill="auto"/>
          </w:tcPr>
          <w:p w:rsidR="00E37DA6" w:rsidRPr="00ED5991" w:rsidRDefault="00E37DA6" w:rsidP="005C069C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97" w:type="pct"/>
            <w:shd w:val="clear" w:color="auto" w:fill="auto"/>
          </w:tcPr>
          <w:p w:rsidR="00E37DA6" w:rsidRPr="0054001F" w:rsidRDefault="00E37DA6" w:rsidP="005C069C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4001F">
              <w:rPr>
                <w:sz w:val="24"/>
                <w:szCs w:val="24"/>
                <w:lang w:eastAsia="ru-RU"/>
              </w:rPr>
              <w:t>Знання:</w:t>
            </w:r>
          </w:p>
          <w:p w:rsidR="00E37DA6" w:rsidRPr="0054001F" w:rsidRDefault="00E37DA6" w:rsidP="005C069C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54001F">
              <w:rPr>
                <w:sz w:val="24"/>
                <w:szCs w:val="24"/>
                <w:lang w:eastAsia="ru-RU"/>
              </w:rPr>
              <w:t xml:space="preserve">Закону України </w:t>
            </w:r>
            <w:r w:rsidRPr="0054001F">
              <w:rPr>
                <w:sz w:val="24"/>
                <w:szCs w:val="24"/>
                <w:lang w:val="ru-RU" w:eastAsia="ru-RU"/>
              </w:rPr>
              <w:t>“</w:t>
            </w:r>
            <w:r w:rsidRPr="0054001F"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54001F">
              <w:rPr>
                <w:sz w:val="24"/>
                <w:szCs w:val="24"/>
                <w:lang w:val="ru-RU" w:eastAsia="ru-RU"/>
              </w:rPr>
              <w:t>”</w:t>
            </w:r>
            <w:r w:rsidRPr="0054001F">
              <w:rPr>
                <w:sz w:val="24"/>
                <w:szCs w:val="24"/>
                <w:lang w:eastAsia="ru-RU"/>
              </w:rPr>
              <w:t>;</w:t>
            </w:r>
          </w:p>
          <w:p w:rsidR="00E37DA6" w:rsidRPr="00A55CBA" w:rsidRDefault="00E37DA6" w:rsidP="005C069C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4001F">
              <w:rPr>
                <w:sz w:val="24"/>
                <w:szCs w:val="24"/>
              </w:rPr>
              <w:t xml:space="preserve">- Постанови </w:t>
            </w:r>
            <w:r w:rsidRPr="00A55CBA">
              <w:rPr>
                <w:sz w:val="24"/>
                <w:szCs w:val="24"/>
              </w:rPr>
              <w:t xml:space="preserve">Кабінету Міністрів України від 27.12.2017 </w:t>
            </w:r>
            <w:r>
              <w:rPr>
                <w:sz w:val="24"/>
                <w:szCs w:val="24"/>
              </w:rPr>
              <w:br/>
            </w:r>
            <w:r w:rsidRPr="00A55CB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> </w:t>
            </w:r>
            <w:r w:rsidRPr="00A55CBA">
              <w:rPr>
                <w:sz w:val="24"/>
                <w:szCs w:val="24"/>
              </w:rPr>
              <w:t>1101 “Про утворення Національної служби здоров’я України”;</w:t>
            </w:r>
          </w:p>
          <w:p w:rsidR="00E37DA6" w:rsidRPr="00A55CBA" w:rsidRDefault="00E37DA6" w:rsidP="005C069C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5CBA">
              <w:rPr>
                <w:sz w:val="24"/>
                <w:szCs w:val="24"/>
                <w:lang w:eastAsia="ru-RU"/>
              </w:rPr>
              <w:t xml:space="preserve">- Постанови Кабінету Міністрів України від 25.04.2018 </w:t>
            </w:r>
            <w:r>
              <w:rPr>
                <w:sz w:val="24"/>
                <w:szCs w:val="24"/>
                <w:lang w:eastAsia="ru-RU"/>
              </w:rPr>
              <w:br/>
            </w:r>
            <w:r w:rsidRPr="00A55CBA"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A55CBA">
              <w:rPr>
                <w:sz w:val="24"/>
                <w:szCs w:val="24"/>
                <w:lang w:eastAsia="ru-RU"/>
              </w:rPr>
              <w:t>411 “Деякі питання електронної системи охорони здоров’я”;</w:t>
            </w:r>
          </w:p>
          <w:p w:rsidR="00E37DA6" w:rsidRDefault="00E37DA6" w:rsidP="005C069C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549">
              <w:rPr>
                <w:sz w:val="24"/>
                <w:szCs w:val="24"/>
                <w:lang w:eastAsia="ru-RU"/>
              </w:rPr>
              <w:t>- 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 xml:space="preserve">Постанови Кабінету Міністрів України від 25.04.2018 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br/>
              <w:t>№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>410 “</w:t>
            </w:r>
            <w:r w:rsidRPr="00F14E8B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Про договори про медичне обслуговування населення за програмою медичних гарантій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>”;</w:t>
            </w:r>
          </w:p>
          <w:p w:rsidR="00E37DA6" w:rsidRPr="00FA7549" w:rsidRDefault="00E37DA6" w:rsidP="005C069C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 Постанови Кабінету Міністрів України </w:t>
            </w:r>
            <w:r w:rsidRPr="00C46557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>від 27.02.2019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136  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Деякі питання щодо договорів про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реімбурсацію</w:t>
            </w:r>
            <w:proofErr w:type="spellEnd"/>
            <w:r w:rsidRPr="00FA7549">
              <w:rPr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E37DA6" w:rsidRPr="009D2BDD" w:rsidRDefault="00E37DA6" w:rsidP="005C069C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55CBA">
              <w:rPr>
                <w:sz w:val="24"/>
                <w:szCs w:val="24"/>
                <w:lang w:eastAsia="ru-RU"/>
              </w:rPr>
              <w:t>- Постанови Кабінету Міністрів України від 28.03.2018 №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A55CBA">
              <w:rPr>
                <w:sz w:val="24"/>
                <w:szCs w:val="24"/>
                <w:lang w:eastAsia="ru-RU"/>
              </w:rPr>
              <w:t>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</w:p>
        </w:tc>
      </w:tr>
      <w:tr w:rsidR="00E37DA6" w:rsidRPr="00ED5991" w:rsidTr="009330DA">
        <w:trPr>
          <w:tblCellSpacing w:w="22" w:type="dxa"/>
        </w:trPr>
        <w:tc>
          <w:tcPr>
            <w:tcW w:w="157" w:type="pct"/>
          </w:tcPr>
          <w:p w:rsidR="00E37DA6" w:rsidRPr="00ED5991" w:rsidRDefault="00E37DA6" w:rsidP="005C069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  <w:shd w:val="clear" w:color="auto" w:fill="auto"/>
          </w:tcPr>
          <w:p w:rsidR="00E37DA6" w:rsidRPr="009D2BDD" w:rsidRDefault="00E37DA6" w:rsidP="00E91954">
            <w:pPr>
              <w:tabs>
                <w:tab w:val="left" w:pos="1418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роботи з договорами </w:t>
            </w:r>
          </w:p>
        </w:tc>
        <w:tc>
          <w:tcPr>
            <w:tcW w:w="3097" w:type="pct"/>
            <w:shd w:val="clear" w:color="auto" w:fill="auto"/>
          </w:tcPr>
          <w:p w:rsidR="00E37DA6" w:rsidRPr="00B650BE" w:rsidRDefault="00E37DA6" w:rsidP="00A56C2F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E4758">
              <w:rPr>
                <w:sz w:val="24"/>
                <w:szCs w:val="24"/>
                <w:lang w:eastAsia="ru-RU"/>
              </w:rPr>
              <w:t xml:space="preserve">Здійснення підготовчої роботи </w:t>
            </w:r>
            <w:r w:rsidRPr="000E4758">
              <w:rPr>
                <w:color w:val="000000"/>
                <w:sz w:val="24"/>
                <w:szCs w:val="24"/>
              </w:rPr>
              <w:t xml:space="preserve">для укладення, зміни та припинення договорів про медичне обслуговування населення </w:t>
            </w:r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та договорів про </w:t>
            </w:r>
            <w:proofErr w:type="spellStart"/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реімбурсацію</w:t>
            </w:r>
            <w:proofErr w:type="spellEnd"/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 регіоні</w:t>
            </w:r>
          </w:p>
        </w:tc>
      </w:tr>
    </w:tbl>
    <w:p w:rsidR="00E37DA6" w:rsidRPr="00ED5991" w:rsidRDefault="00E37DA6" w:rsidP="00E37DA6">
      <w:pPr>
        <w:spacing w:line="240" w:lineRule="auto"/>
      </w:pPr>
    </w:p>
    <w:p w:rsidR="00E37DA6" w:rsidRPr="00401739" w:rsidRDefault="00E37DA6" w:rsidP="00E37DA6"/>
    <w:p w:rsidR="00E37DA6" w:rsidRDefault="00E37DA6" w:rsidP="00E37DA6"/>
    <w:p w:rsidR="00E37DA6" w:rsidRDefault="00E37DA6" w:rsidP="00E37DA6"/>
    <w:p w:rsidR="00D465EF" w:rsidRDefault="00804F08"/>
    <w:sectPr w:rsidR="00D465EF" w:rsidSect="006421C9">
      <w:pgSz w:w="11906" w:h="16838"/>
      <w:pgMar w:top="1134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6A"/>
    <w:multiLevelType w:val="hybridMultilevel"/>
    <w:tmpl w:val="506A6D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CF36F9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sz w:val="24"/>
        <w:szCs w:val="24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A6"/>
    <w:rsid w:val="001935BE"/>
    <w:rsid w:val="003C2651"/>
    <w:rsid w:val="00613AA2"/>
    <w:rsid w:val="00655AC2"/>
    <w:rsid w:val="00804F08"/>
    <w:rsid w:val="009330DA"/>
    <w:rsid w:val="00A56C2F"/>
    <w:rsid w:val="00B725A4"/>
    <w:rsid w:val="00E37DA6"/>
    <w:rsid w:val="00E41BF2"/>
    <w:rsid w:val="00E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14F72-F498-4F92-BC37-1276FD8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A6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E37D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E37DA6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E37DA6"/>
  </w:style>
  <w:style w:type="paragraph" w:customStyle="1" w:styleId="rvps14">
    <w:name w:val="rvps14"/>
    <w:basedOn w:val="a"/>
    <w:uiPriority w:val="99"/>
    <w:rsid w:val="00E37D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E37DA6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E37DA6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19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5582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8</cp:revision>
  <cp:lastPrinted>2021-09-21T09:01:00Z</cp:lastPrinted>
  <dcterms:created xsi:type="dcterms:W3CDTF">2021-09-20T09:36:00Z</dcterms:created>
  <dcterms:modified xsi:type="dcterms:W3CDTF">2021-09-22T11:48:00Z</dcterms:modified>
</cp:coreProperties>
</file>