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612" w:rsidRDefault="009E113E">
      <w:pPr>
        <w:spacing w:line="240" w:lineRule="auto"/>
        <w:ind w:left="13040" w:hanging="1134"/>
        <w:rPr>
          <w:rFonts w:ascii="Times New Roman" w:eastAsia="Times New Roman" w:hAnsi="Times New Roman" w:cs="Times New Roman"/>
          <w:sz w:val="24"/>
          <w:szCs w:val="24"/>
          <w:highlight w:val="white"/>
        </w:rPr>
      </w:pPr>
      <w:bookmarkStart w:id="0" w:name="_GoBack"/>
      <w:bookmarkEnd w:id="0"/>
      <w:r>
        <w:rPr>
          <w:rFonts w:ascii="Times New Roman" w:eastAsia="Times New Roman" w:hAnsi="Times New Roman" w:cs="Times New Roman"/>
          <w:sz w:val="24"/>
          <w:szCs w:val="24"/>
          <w:highlight w:val="white"/>
        </w:rPr>
        <w:t>Додаток ___</w:t>
      </w:r>
    </w:p>
    <w:p w:rsidR="00A95612" w:rsidRDefault="009E113E">
      <w:pPr>
        <w:spacing w:line="240" w:lineRule="auto"/>
        <w:ind w:left="13040" w:hanging="1134"/>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 договору</w:t>
      </w:r>
    </w:p>
    <w:p w:rsidR="00A95612" w:rsidRDefault="009E113E">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СПЕЦІАЛЬНІ УМОВИ</w:t>
      </w:r>
    </w:p>
    <w:p w:rsidR="00A95612" w:rsidRDefault="009E113E">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надання інших медичних послуг</w:t>
      </w:r>
    </w:p>
    <w:p w:rsidR="00A95612" w:rsidRDefault="009E113E">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 </w:t>
      </w:r>
    </w:p>
    <w:p w:rsidR="00A95612" w:rsidRDefault="009E113E">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 Надавач зобов’язується надавати згідно з договором такі медичні послуги</w:t>
      </w:r>
    </w:p>
    <w:p w:rsidR="00A95612" w:rsidRDefault="009E113E">
      <w:pPr>
        <w:spacing w:before="120"/>
        <w:ind w:left="9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bl>
      <w:tblPr>
        <w:tblStyle w:val="a5"/>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25"/>
        <w:gridCol w:w="982"/>
        <w:gridCol w:w="1151"/>
        <w:gridCol w:w="1151"/>
        <w:gridCol w:w="1005"/>
        <w:gridCol w:w="1198"/>
        <w:gridCol w:w="1162"/>
        <w:gridCol w:w="257"/>
        <w:gridCol w:w="957"/>
        <w:gridCol w:w="1331"/>
        <w:gridCol w:w="1416"/>
        <w:gridCol w:w="1258"/>
        <w:gridCol w:w="1271"/>
      </w:tblGrid>
      <w:tr w:rsidR="00A95612">
        <w:trPr>
          <w:trHeight w:val="515"/>
        </w:trPr>
        <w:tc>
          <w:tcPr>
            <w:tcW w:w="8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95612" w:rsidRDefault="009E113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w:t>
            </w:r>
          </w:p>
        </w:tc>
        <w:tc>
          <w:tcPr>
            <w:tcW w:w="981"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95612" w:rsidRDefault="009E113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Код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95612" w:rsidRDefault="009E113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Назва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95612" w:rsidRDefault="009E113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005"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95612" w:rsidRDefault="009E113E">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Одиниця медичної послуги</w:t>
            </w:r>
          </w:p>
        </w:tc>
        <w:tc>
          <w:tcPr>
            <w:tcW w:w="1198"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95612" w:rsidRDefault="009E113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w:t>
            </w:r>
          </w:p>
          <w:p w:rsidR="00A95612" w:rsidRDefault="009E113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кількість медичних послуг</w:t>
            </w:r>
          </w:p>
        </w:tc>
        <w:tc>
          <w:tcPr>
            <w:tcW w:w="1419" w:type="dxa"/>
            <w:gridSpan w:val="2"/>
            <w:tcBorders>
              <w:top w:val="single" w:sz="8" w:space="0" w:color="000000"/>
              <w:bottom w:val="single" w:sz="8" w:space="0" w:color="000000"/>
            </w:tcBorders>
            <w:shd w:val="clear" w:color="auto" w:fill="FFFFFF"/>
            <w:tcMar>
              <w:top w:w="100" w:type="dxa"/>
              <w:left w:w="100" w:type="dxa"/>
              <w:bottom w:w="100" w:type="dxa"/>
              <w:right w:w="100" w:type="dxa"/>
            </w:tcMar>
          </w:tcPr>
          <w:p w:rsidR="00A95612" w:rsidRDefault="009E113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6232" w:type="dxa"/>
            <w:gridSpan w:val="5"/>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95612" w:rsidRDefault="009E113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w:t>
            </w:r>
          </w:p>
        </w:tc>
      </w:tr>
      <w:tr w:rsidR="00A95612">
        <w:trPr>
          <w:trHeight w:val="1310"/>
        </w:trPr>
        <w:tc>
          <w:tcPr>
            <w:tcW w:w="8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A95612">
            <w:pPr>
              <w:widowControl w:val="0"/>
              <w:pBdr>
                <w:top w:val="nil"/>
                <w:left w:val="nil"/>
                <w:bottom w:val="nil"/>
                <w:right w:val="nil"/>
                <w:between w:val="nil"/>
              </w:pBdr>
              <w:rPr>
                <w:highlight w:val="white"/>
              </w:rPr>
            </w:pPr>
          </w:p>
        </w:tc>
        <w:tc>
          <w:tcPr>
            <w:tcW w:w="9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A95612">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A95612">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A95612">
            <w:pPr>
              <w:widowControl w:val="0"/>
              <w:pBdr>
                <w:top w:val="nil"/>
                <w:left w:val="nil"/>
                <w:bottom w:val="nil"/>
                <w:right w:val="nil"/>
                <w:between w:val="nil"/>
              </w:pBdr>
              <w:rPr>
                <w:highlight w:val="white"/>
              </w:rPr>
            </w:pPr>
          </w:p>
        </w:tc>
        <w:tc>
          <w:tcPr>
            <w:tcW w:w="100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A95612">
            <w:pPr>
              <w:widowControl w:val="0"/>
              <w:pBdr>
                <w:top w:val="nil"/>
                <w:left w:val="nil"/>
                <w:bottom w:val="nil"/>
                <w:right w:val="nil"/>
                <w:between w:val="nil"/>
              </w:pBdr>
              <w:rPr>
                <w:highlight w:val="white"/>
              </w:rPr>
            </w:pPr>
          </w:p>
        </w:tc>
        <w:tc>
          <w:tcPr>
            <w:tcW w:w="119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A95612">
            <w:pPr>
              <w:widowControl w:val="0"/>
              <w:pBdr>
                <w:top w:val="nil"/>
                <w:left w:val="nil"/>
                <w:bottom w:val="nil"/>
                <w:right w:val="nil"/>
                <w:between w:val="nil"/>
              </w:pBdr>
              <w:rPr>
                <w:highlight w:val="white"/>
              </w:rPr>
            </w:pPr>
          </w:p>
        </w:tc>
        <w:tc>
          <w:tcPr>
            <w:tcW w:w="1162" w:type="dxa"/>
            <w:tcBorders>
              <w:bottom w:val="single" w:sz="8" w:space="0" w:color="000000"/>
              <w:right w:val="single" w:sz="8" w:space="0" w:color="000000"/>
            </w:tcBorders>
            <w:shd w:val="clear" w:color="auto" w:fill="FFFFFF"/>
            <w:tcMar>
              <w:top w:w="100" w:type="dxa"/>
              <w:left w:w="100" w:type="dxa"/>
              <w:bottom w:w="100" w:type="dxa"/>
              <w:right w:w="100" w:type="dxa"/>
            </w:tcMar>
          </w:tcPr>
          <w:p w:rsidR="00A95612" w:rsidRDefault="009E113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1214"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A95612" w:rsidRDefault="009E113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Тариф (ставка), грн</w:t>
            </w:r>
          </w:p>
        </w:tc>
        <w:tc>
          <w:tcPr>
            <w:tcW w:w="1331" w:type="dxa"/>
            <w:tcBorders>
              <w:bottom w:val="single" w:sz="8" w:space="0" w:color="000000"/>
              <w:right w:val="single" w:sz="8" w:space="0" w:color="000000"/>
            </w:tcBorders>
            <w:shd w:val="clear" w:color="auto" w:fill="FFFFFF"/>
            <w:tcMar>
              <w:top w:w="100" w:type="dxa"/>
              <w:left w:w="100" w:type="dxa"/>
              <w:bottom w:w="100" w:type="dxa"/>
              <w:right w:w="100" w:type="dxa"/>
            </w:tcMar>
          </w:tcPr>
          <w:p w:rsidR="00A95612" w:rsidRDefault="009E113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415" w:type="dxa"/>
            <w:tcBorders>
              <w:bottom w:val="single" w:sz="8" w:space="0" w:color="000000"/>
              <w:right w:val="single" w:sz="8" w:space="0" w:color="000000"/>
            </w:tcBorders>
            <w:shd w:val="clear" w:color="auto" w:fill="FFFFFF"/>
            <w:tcMar>
              <w:top w:w="100" w:type="dxa"/>
              <w:left w:w="100" w:type="dxa"/>
              <w:bottom w:w="100" w:type="dxa"/>
              <w:right w:w="100" w:type="dxa"/>
            </w:tcMar>
          </w:tcPr>
          <w:p w:rsidR="00A95612" w:rsidRDefault="009E113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1258" w:type="dxa"/>
            <w:tcBorders>
              <w:bottom w:val="single" w:sz="8" w:space="0" w:color="000000"/>
              <w:right w:val="single" w:sz="8" w:space="0" w:color="000000"/>
            </w:tcBorders>
            <w:shd w:val="clear" w:color="auto" w:fill="FFFFFF"/>
            <w:tcMar>
              <w:top w:w="100" w:type="dxa"/>
              <w:left w:w="100" w:type="dxa"/>
              <w:bottom w:w="100" w:type="dxa"/>
              <w:right w:w="100" w:type="dxa"/>
            </w:tcMar>
          </w:tcPr>
          <w:p w:rsidR="00A95612" w:rsidRDefault="009E113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1271" w:type="dxa"/>
            <w:tcBorders>
              <w:bottom w:val="single" w:sz="8" w:space="0" w:color="000000"/>
              <w:right w:val="single" w:sz="8" w:space="0" w:color="000000"/>
            </w:tcBorders>
            <w:shd w:val="clear" w:color="auto" w:fill="FFFFFF"/>
            <w:tcMar>
              <w:top w:w="100" w:type="dxa"/>
              <w:left w:w="100" w:type="dxa"/>
              <w:bottom w:w="100" w:type="dxa"/>
              <w:right w:w="100" w:type="dxa"/>
            </w:tcMar>
          </w:tcPr>
          <w:p w:rsidR="00A95612" w:rsidRDefault="009E113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 грн</w:t>
            </w:r>
          </w:p>
        </w:tc>
      </w:tr>
      <w:tr w:rsidR="00A95612">
        <w:trPr>
          <w:trHeight w:val="2570"/>
        </w:trPr>
        <w:tc>
          <w:tcPr>
            <w:tcW w:w="82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jc w:val="center"/>
              <w:rPr>
                <w:sz w:val="16"/>
                <w:szCs w:val="16"/>
                <w:highlight w:val="white"/>
              </w:rPr>
            </w:pPr>
            <w:r>
              <w:rPr>
                <w:sz w:val="16"/>
                <w:szCs w:val="16"/>
                <w:highlight w:val="white"/>
              </w:rPr>
              <w:t xml:space="preserve"> </w:t>
            </w:r>
          </w:p>
        </w:tc>
        <w:tc>
          <w:tcPr>
            <w:tcW w:w="981"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jc w:val="center"/>
              <w:rPr>
                <w:sz w:val="16"/>
                <w:szCs w:val="16"/>
                <w:highlight w:val="white"/>
              </w:rPr>
            </w:pPr>
            <w:r>
              <w:rPr>
                <w:sz w:val="16"/>
                <w:szCs w:val="16"/>
                <w:highlight w:val="white"/>
              </w:rPr>
              <w:t xml:space="preserve"> </w:t>
            </w:r>
          </w:p>
        </w:tc>
        <w:tc>
          <w:tcPr>
            <w:tcW w:w="1005"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jc w:val="center"/>
              <w:rPr>
                <w:sz w:val="16"/>
                <w:szCs w:val="16"/>
                <w:highlight w:val="white"/>
              </w:rPr>
            </w:pPr>
            <w:r>
              <w:rPr>
                <w:sz w:val="16"/>
                <w:szCs w:val="16"/>
                <w:highlight w:val="white"/>
              </w:rPr>
              <w:t xml:space="preserve"> </w:t>
            </w:r>
          </w:p>
        </w:tc>
        <w:tc>
          <w:tcPr>
            <w:tcW w:w="1198"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jc w:val="center"/>
              <w:rPr>
                <w:sz w:val="16"/>
                <w:szCs w:val="16"/>
                <w:highlight w:val="white"/>
              </w:rPr>
            </w:pPr>
            <w:r>
              <w:rPr>
                <w:sz w:val="16"/>
                <w:szCs w:val="16"/>
                <w:highlight w:val="white"/>
              </w:rPr>
              <w:t xml:space="preserve"> </w:t>
            </w:r>
          </w:p>
        </w:tc>
        <w:tc>
          <w:tcPr>
            <w:tcW w:w="1162"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jc w:val="right"/>
              <w:rPr>
                <w:sz w:val="16"/>
                <w:szCs w:val="16"/>
                <w:highlight w:val="white"/>
              </w:rPr>
            </w:pPr>
            <w:r>
              <w:rPr>
                <w:sz w:val="16"/>
                <w:szCs w:val="16"/>
                <w:highlight w:val="white"/>
              </w:rPr>
              <w:t xml:space="preserve"> </w:t>
            </w:r>
          </w:p>
        </w:tc>
        <w:tc>
          <w:tcPr>
            <w:tcW w:w="1214"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jc w:val="right"/>
              <w:rPr>
                <w:sz w:val="16"/>
                <w:szCs w:val="16"/>
                <w:highlight w:val="white"/>
              </w:rPr>
            </w:pPr>
            <w:r>
              <w:rPr>
                <w:sz w:val="16"/>
                <w:szCs w:val="16"/>
                <w:highlight w:val="white"/>
              </w:rPr>
              <w:t xml:space="preserve"> </w:t>
            </w:r>
          </w:p>
        </w:tc>
        <w:tc>
          <w:tcPr>
            <w:tcW w:w="1331"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jc w:val="center"/>
              <w:rPr>
                <w:sz w:val="16"/>
                <w:szCs w:val="16"/>
                <w:highlight w:val="white"/>
              </w:rPr>
            </w:pPr>
            <w:r>
              <w:rPr>
                <w:sz w:val="16"/>
                <w:szCs w:val="16"/>
                <w:highlight w:val="white"/>
              </w:rPr>
              <w:t xml:space="preserve"> </w:t>
            </w:r>
          </w:p>
        </w:tc>
        <w:tc>
          <w:tcPr>
            <w:tcW w:w="1415"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jc w:val="right"/>
              <w:rPr>
                <w:sz w:val="16"/>
                <w:szCs w:val="16"/>
                <w:highlight w:val="white"/>
              </w:rPr>
            </w:pPr>
            <w:r>
              <w:rPr>
                <w:sz w:val="16"/>
                <w:szCs w:val="16"/>
                <w:highlight w:val="white"/>
              </w:rPr>
              <w:t xml:space="preserve"> </w:t>
            </w:r>
          </w:p>
        </w:tc>
        <w:tc>
          <w:tcPr>
            <w:tcW w:w="1258"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jc w:val="right"/>
              <w:rPr>
                <w:sz w:val="16"/>
                <w:szCs w:val="16"/>
                <w:highlight w:val="white"/>
              </w:rPr>
            </w:pPr>
            <w:r>
              <w:rPr>
                <w:sz w:val="16"/>
                <w:szCs w:val="16"/>
                <w:highlight w:val="white"/>
              </w:rPr>
              <w:t xml:space="preserve"> </w:t>
            </w:r>
          </w:p>
        </w:tc>
        <w:tc>
          <w:tcPr>
            <w:tcW w:w="1271"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jc w:val="right"/>
              <w:rPr>
                <w:sz w:val="16"/>
                <w:szCs w:val="16"/>
                <w:highlight w:val="white"/>
              </w:rPr>
            </w:pPr>
            <w:r>
              <w:rPr>
                <w:sz w:val="16"/>
                <w:szCs w:val="16"/>
                <w:highlight w:val="white"/>
              </w:rPr>
              <w:t xml:space="preserve"> </w:t>
            </w:r>
          </w:p>
        </w:tc>
      </w:tr>
      <w:tr w:rsidR="00A95612">
        <w:trPr>
          <w:trHeight w:val="215"/>
        </w:trPr>
        <w:tc>
          <w:tcPr>
            <w:tcW w:w="824" w:type="dxa"/>
            <w:shd w:val="clear" w:color="auto" w:fill="auto"/>
            <w:tcMar>
              <w:top w:w="100" w:type="dxa"/>
              <w:left w:w="100" w:type="dxa"/>
              <w:bottom w:w="100" w:type="dxa"/>
              <w:right w:w="100" w:type="dxa"/>
            </w:tcMar>
          </w:tcPr>
          <w:p w:rsidR="00A95612" w:rsidRDefault="00A95612">
            <w:pPr>
              <w:rPr>
                <w:highlight w:val="white"/>
              </w:rPr>
            </w:pPr>
          </w:p>
        </w:tc>
        <w:tc>
          <w:tcPr>
            <w:tcW w:w="981" w:type="dxa"/>
            <w:shd w:val="clear" w:color="auto" w:fill="auto"/>
            <w:tcMar>
              <w:top w:w="100" w:type="dxa"/>
              <w:left w:w="100" w:type="dxa"/>
              <w:bottom w:w="100" w:type="dxa"/>
              <w:right w:w="100" w:type="dxa"/>
            </w:tcMar>
          </w:tcPr>
          <w:p w:rsidR="00A95612" w:rsidRDefault="00A95612">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A95612" w:rsidRDefault="00A95612">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A95612" w:rsidRDefault="00A95612">
            <w:pPr>
              <w:widowControl w:val="0"/>
              <w:pBdr>
                <w:top w:val="nil"/>
                <w:left w:val="nil"/>
                <w:bottom w:val="nil"/>
                <w:right w:val="nil"/>
                <w:between w:val="nil"/>
              </w:pBdr>
              <w:rPr>
                <w:highlight w:val="white"/>
              </w:rPr>
            </w:pPr>
          </w:p>
        </w:tc>
        <w:tc>
          <w:tcPr>
            <w:tcW w:w="1005" w:type="dxa"/>
            <w:shd w:val="clear" w:color="auto" w:fill="auto"/>
            <w:tcMar>
              <w:top w:w="100" w:type="dxa"/>
              <w:left w:w="100" w:type="dxa"/>
              <w:bottom w:w="100" w:type="dxa"/>
              <w:right w:w="100" w:type="dxa"/>
            </w:tcMar>
          </w:tcPr>
          <w:p w:rsidR="00A95612" w:rsidRDefault="00A95612">
            <w:pPr>
              <w:widowControl w:val="0"/>
              <w:pBdr>
                <w:top w:val="nil"/>
                <w:left w:val="nil"/>
                <w:bottom w:val="nil"/>
                <w:right w:val="nil"/>
                <w:between w:val="nil"/>
              </w:pBdr>
              <w:rPr>
                <w:highlight w:val="white"/>
              </w:rPr>
            </w:pPr>
          </w:p>
        </w:tc>
        <w:tc>
          <w:tcPr>
            <w:tcW w:w="1198" w:type="dxa"/>
            <w:shd w:val="clear" w:color="auto" w:fill="auto"/>
            <w:tcMar>
              <w:top w:w="100" w:type="dxa"/>
              <w:left w:w="100" w:type="dxa"/>
              <w:bottom w:w="100" w:type="dxa"/>
              <w:right w:w="100" w:type="dxa"/>
            </w:tcMar>
          </w:tcPr>
          <w:p w:rsidR="00A95612" w:rsidRDefault="00A95612">
            <w:pPr>
              <w:widowControl w:val="0"/>
              <w:pBdr>
                <w:top w:val="nil"/>
                <w:left w:val="nil"/>
                <w:bottom w:val="nil"/>
                <w:right w:val="nil"/>
                <w:between w:val="nil"/>
              </w:pBdr>
              <w:rPr>
                <w:highlight w:val="white"/>
              </w:rPr>
            </w:pPr>
          </w:p>
        </w:tc>
        <w:tc>
          <w:tcPr>
            <w:tcW w:w="1162" w:type="dxa"/>
            <w:shd w:val="clear" w:color="auto" w:fill="auto"/>
            <w:tcMar>
              <w:top w:w="100" w:type="dxa"/>
              <w:left w:w="100" w:type="dxa"/>
              <w:bottom w:w="100" w:type="dxa"/>
              <w:right w:w="100" w:type="dxa"/>
            </w:tcMar>
          </w:tcPr>
          <w:p w:rsidR="00A95612" w:rsidRDefault="00A95612">
            <w:pPr>
              <w:widowControl w:val="0"/>
              <w:pBdr>
                <w:top w:val="nil"/>
                <w:left w:val="nil"/>
                <w:bottom w:val="nil"/>
                <w:right w:val="nil"/>
                <w:between w:val="nil"/>
              </w:pBdr>
              <w:rPr>
                <w:highlight w:val="white"/>
              </w:rPr>
            </w:pPr>
          </w:p>
        </w:tc>
        <w:tc>
          <w:tcPr>
            <w:tcW w:w="257" w:type="dxa"/>
            <w:shd w:val="clear" w:color="auto" w:fill="auto"/>
            <w:tcMar>
              <w:top w:w="100" w:type="dxa"/>
              <w:left w:w="100" w:type="dxa"/>
              <w:bottom w:w="100" w:type="dxa"/>
              <w:right w:w="100" w:type="dxa"/>
            </w:tcMar>
          </w:tcPr>
          <w:p w:rsidR="00A95612" w:rsidRDefault="00A95612">
            <w:pPr>
              <w:widowControl w:val="0"/>
              <w:pBdr>
                <w:top w:val="nil"/>
                <w:left w:val="nil"/>
                <w:bottom w:val="nil"/>
                <w:right w:val="nil"/>
                <w:between w:val="nil"/>
              </w:pBdr>
              <w:rPr>
                <w:highlight w:val="white"/>
              </w:rPr>
            </w:pPr>
          </w:p>
        </w:tc>
        <w:tc>
          <w:tcPr>
            <w:tcW w:w="957" w:type="dxa"/>
            <w:shd w:val="clear" w:color="auto" w:fill="auto"/>
            <w:tcMar>
              <w:top w:w="100" w:type="dxa"/>
              <w:left w:w="100" w:type="dxa"/>
              <w:bottom w:w="100" w:type="dxa"/>
              <w:right w:w="100" w:type="dxa"/>
            </w:tcMar>
          </w:tcPr>
          <w:p w:rsidR="00A95612" w:rsidRDefault="00A95612">
            <w:pPr>
              <w:widowControl w:val="0"/>
              <w:pBdr>
                <w:top w:val="nil"/>
                <w:left w:val="nil"/>
                <w:bottom w:val="nil"/>
                <w:right w:val="nil"/>
                <w:between w:val="nil"/>
              </w:pBdr>
              <w:rPr>
                <w:highlight w:val="white"/>
              </w:rPr>
            </w:pPr>
          </w:p>
        </w:tc>
        <w:tc>
          <w:tcPr>
            <w:tcW w:w="1331" w:type="dxa"/>
            <w:shd w:val="clear" w:color="auto" w:fill="auto"/>
            <w:tcMar>
              <w:top w:w="100" w:type="dxa"/>
              <w:left w:w="100" w:type="dxa"/>
              <w:bottom w:w="100" w:type="dxa"/>
              <w:right w:w="100" w:type="dxa"/>
            </w:tcMar>
          </w:tcPr>
          <w:p w:rsidR="00A95612" w:rsidRDefault="00A95612">
            <w:pPr>
              <w:widowControl w:val="0"/>
              <w:pBdr>
                <w:top w:val="nil"/>
                <w:left w:val="nil"/>
                <w:bottom w:val="nil"/>
                <w:right w:val="nil"/>
                <w:between w:val="nil"/>
              </w:pBdr>
              <w:rPr>
                <w:highlight w:val="white"/>
              </w:rPr>
            </w:pPr>
          </w:p>
        </w:tc>
        <w:tc>
          <w:tcPr>
            <w:tcW w:w="1415" w:type="dxa"/>
            <w:shd w:val="clear" w:color="auto" w:fill="auto"/>
            <w:tcMar>
              <w:top w:w="100" w:type="dxa"/>
              <w:left w:w="100" w:type="dxa"/>
              <w:bottom w:w="100" w:type="dxa"/>
              <w:right w:w="100" w:type="dxa"/>
            </w:tcMar>
          </w:tcPr>
          <w:p w:rsidR="00A95612" w:rsidRDefault="00A95612">
            <w:pPr>
              <w:widowControl w:val="0"/>
              <w:pBdr>
                <w:top w:val="nil"/>
                <w:left w:val="nil"/>
                <w:bottom w:val="nil"/>
                <w:right w:val="nil"/>
                <w:between w:val="nil"/>
              </w:pBdr>
              <w:rPr>
                <w:highlight w:val="white"/>
              </w:rPr>
            </w:pPr>
          </w:p>
        </w:tc>
        <w:tc>
          <w:tcPr>
            <w:tcW w:w="1258" w:type="dxa"/>
            <w:shd w:val="clear" w:color="auto" w:fill="auto"/>
            <w:tcMar>
              <w:top w:w="100" w:type="dxa"/>
              <w:left w:w="100" w:type="dxa"/>
              <w:bottom w:w="100" w:type="dxa"/>
              <w:right w:w="100" w:type="dxa"/>
            </w:tcMar>
          </w:tcPr>
          <w:p w:rsidR="00A95612" w:rsidRDefault="00A95612">
            <w:pPr>
              <w:widowControl w:val="0"/>
              <w:pBdr>
                <w:top w:val="nil"/>
                <w:left w:val="nil"/>
                <w:bottom w:val="nil"/>
                <w:right w:val="nil"/>
                <w:between w:val="nil"/>
              </w:pBdr>
              <w:rPr>
                <w:highlight w:val="white"/>
              </w:rPr>
            </w:pPr>
          </w:p>
        </w:tc>
        <w:tc>
          <w:tcPr>
            <w:tcW w:w="1271" w:type="dxa"/>
            <w:shd w:val="clear" w:color="auto" w:fill="auto"/>
            <w:tcMar>
              <w:top w:w="100" w:type="dxa"/>
              <w:left w:w="100" w:type="dxa"/>
              <w:bottom w:w="100" w:type="dxa"/>
              <w:right w:w="100" w:type="dxa"/>
            </w:tcMar>
          </w:tcPr>
          <w:p w:rsidR="00A95612" w:rsidRDefault="00A95612">
            <w:pPr>
              <w:widowControl w:val="0"/>
              <w:pBdr>
                <w:top w:val="nil"/>
                <w:left w:val="nil"/>
                <w:bottom w:val="nil"/>
                <w:right w:val="nil"/>
                <w:between w:val="nil"/>
              </w:pBdr>
              <w:rPr>
                <w:highlight w:val="white"/>
              </w:rPr>
            </w:pPr>
          </w:p>
        </w:tc>
      </w:tr>
    </w:tbl>
    <w:p w:rsidR="00A95612" w:rsidRDefault="009E113E">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 Підрядники, які надають медичні послуги за договором, згідно з цим додатком</w:t>
      </w:r>
    </w:p>
    <w:tbl>
      <w:tblPr>
        <w:tblStyle w:val="a6"/>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34"/>
        <w:gridCol w:w="1428"/>
        <w:gridCol w:w="2220"/>
        <w:gridCol w:w="1470"/>
        <w:gridCol w:w="1568"/>
        <w:gridCol w:w="1413"/>
        <w:gridCol w:w="1356"/>
        <w:gridCol w:w="2275"/>
      </w:tblGrid>
      <w:tr w:rsidR="00A95612">
        <w:trPr>
          <w:trHeight w:val="935"/>
        </w:trPr>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95612" w:rsidRDefault="009E113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Найменування</w:t>
            </w:r>
          </w:p>
          <w:p w:rsidR="00A95612" w:rsidRDefault="009E113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підрядника</w:t>
            </w:r>
          </w:p>
        </w:tc>
        <w:tc>
          <w:tcPr>
            <w:tcW w:w="1427"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95612" w:rsidRDefault="009E113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ЄДРПОУ</w:t>
            </w:r>
          </w:p>
          <w:p w:rsidR="00A95612" w:rsidRDefault="009E113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95612" w:rsidRDefault="009E113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47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95612" w:rsidRDefault="009E113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Вид медичної</w:t>
            </w:r>
          </w:p>
          <w:p w:rsidR="00A95612" w:rsidRDefault="009E113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послуги/групи послуг</w:t>
            </w:r>
          </w:p>
        </w:tc>
        <w:tc>
          <w:tcPr>
            <w:tcW w:w="1568"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95612" w:rsidRDefault="009E113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 договору з підрядником</w:t>
            </w:r>
          </w:p>
        </w:tc>
        <w:tc>
          <w:tcPr>
            <w:tcW w:w="1413"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95612" w:rsidRDefault="009E113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укладення договору з підрядником</w:t>
            </w:r>
          </w:p>
        </w:tc>
        <w:tc>
          <w:tcPr>
            <w:tcW w:w="1356"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95612" w:rsidRDefault="009E113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початку строку дії договору з підрядником</w:t>
            </w:r>
          </w:p>
        </w:tc>
        <w:tc>
          <w:tcPr>
            <w:tcW w:w="227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95612" w:rsidRDefault="009E113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закінчення строку дії договору з підрядником</w:t>
            </w:r>
          </w:p>
        </w:tc>
      </w:tr>
      <w:tr w:rsidR="00A95612">
        <w:trPr>
          <w:trHeight w:val="1310"/>
        </w:trPr>
        <w:tc>
          <w:tcPr>
            <w:tcW w:w="2233"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95612" w:rsidRDefault="009E113E">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427" w:type="dxa"/>
            <w:tcBorders>
              <w:bottom w:val="single" w:sz="8" w:space="0" w:color="000000"/>
              <w:right w:val="single" w:sz="8" w:space="0" w:color="000000"/>
            </w:tcBorders>
            <w:shd w:val="clear" w:color="auto" w:fill="FFFFFF"/>
            <w:tcMar>
              <w:top w:w="100" w:type="dxa"/>
              <w:left w:w="100" w:type="dxa"/>
              <w:bottom w:w="100" w:type="dxa"/>
              <w:right w:w="100" w:type="dxa"/>
            </w:tcMar>
          </w:tcPr>
          <w:p w:rsidR="00A95612" w:rsidRDefault="009E113E">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bottom w:val="single" w:sz="8" w:space="0" w:color="000000"/>
              <w:right w:val="single" w:sz="8" w:space="0" w:color="000000"/>
            </w:tcBorders>
            <w:shd w:val="clear" w:color="auto" w:fill="FFFFFF"/>
            <w:tcMar>
              <w:top w:w="100" w:type="dxa"/>
              <w:left w:w="100" w:type="dxa"/>
              <w:bottom w:w="100" w:type="dxa"/>
              <w:right w:w="100" w:type="dxa"/>
            </w:tcMar>
          </w:tcPr>
          <w:p w:rsidR="00A95612" w:rsidRDefault="00A95612">
            <w:pPr>
              <w:rPr>
                <w:highlight w:val="white"/>
              </w:rPr>
            </w:pPr>
          </w:p>
        </w:tc>
        <w:tc>
          <w:tcPr>
            <w:tcW w:w="1470" w:type="dxa"/>
            <w:tcBorders>
              <w:bottom w:val="single" w:sz="8" w:space="0" w:color="000000"/>
              <w:right w:val="single" w:sz="8" w:space="0" w:color="000000"/>
            </w:tcBorders>
            <w:shd w:val="clear" w:color="auto" w:fill="FFFFFF"/>
            <w:tcMar>
              <w:top w:w="100" w:type="dxa"/>
              <w:left w:w="100" w:type="dxa"/>
              <w:bottom w:w="100" w:type="dxa"/>
              <w:right w:w="100" w:type="dxa"/>
            </w:tcMar>
          </w:tcPr>
          <w:p w:rsidR="00A95612" w:rsidRDefault="00A95612">
            <w:pPr>
              <w:widowControl w:val="0"/>
              <w:pBdr>
                <w:top w:val="nil"/>
                <w:left w:val="nil"/>
                <w:bottom w:val="nil"/>
                <w:right w:val="nil"/>
                <w:between w:val="nil"/>
              </w:pBdr>
              <w:rPr>
                <w:highlight w:val="white"/>
              </w:rPr>
            </w:pPr>
          </w:p>
        </w:tc>
        <w:tc>
          <w:tcPr>
            <w:tcW w:w="1568" w:type="dxa"/>
            <w:tcBorders>
              <w:bottom w:val="single" w:sz="8" w:space="0" w:color="000000"/>
              <w:right w:val="single" w:sz="8" w:space="0" w:color="000000"/>
            </w:tcBorders>
            <w:shd w:val="clear" w:color="auto" w:fill="FFFFFF"/>
            <w:tcMar>
              <w:top w:w="100" w:type="dxa"/>
              <w:left w:w="100" w:type="dxa"/>
              <w:bottom w:w="100" w:type="dxa"/>
              <w:right w:w="100" w:type="dxa"/>
            </w:tcMar>
          </w:tcPr>
          <w:p w:rsidR="00A95612" w:rsidRDefault="00A95612">
            <w:pPr>
              <w:widowControl w:val="0"/>
              <w:pBdr>
                <w:top w:val="nil"/>
                <w:left w:val="nil"/>
                <w:bottom w:val="nil"/>
                <w:right w:val="nil"/>
                <w:between w:val="nil"/>
              </w:pBdr>
              <w:rPr>
                <w:highlight w:val="white"/>
              </w:rPr>
            </w:pPr>
          </w:p>
        </w:tc>
        <w:tc>
          <w:tcPr>
            <w:tcW w:w="1413" w:type="dxa"/>
            <w:tcBorders>
              <w:bottom w:val="single" w:sz="8" w:space="0" w:color="000000"/>
              <w:right w:val="single" w:sz="8" w:space="0" w:color="000000"/>
            </w:tcBorders>
            <w:shd w:val="clear" w:color="auto" w:fill="FFFFFF"/>
            <w:tcMar>
              <w:top w:w="100" w:type="dxa"/>
              <w:left w:w="100" w:type="dxa"/>
              <w:bottom w:w="100" w:type="dxa"/>
              <w:right w:w="100" w:type="dxa"/>
            </w:tcMar>
          </w:tcPr>
          <w:p w:rsidR="00A95612" w:rsidRDefault="009E113E">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356" w:type="dxa"/>
            <w:tcBorders>
              <w:bottom w:val="single" w:sz="8" w:space="0" w:color="000000"/>
              <w:right w:val="single" w:sz="8" w:space="0" w:color="000000"/>
            </w:tcBorders>
            <w:shd w:val="clear" w:color="auto" w:fill="FFFFFF"/>
            <w:tcMar>
              <w:top w:w="100" w:type="dxa"/>
              <w:left w:w="100" w:type="dxa"/>
              <w:bottom w:w="100" w:type="dxa"/>
              <w:right w:w="100" w:type="dxa"/>
            </w:tcMar>
          </w:tcPr>
          <w:p w:rsidR="00A95612" w:rsidRDefault="00A95612">
            <w:pPr>
              <w:rPr>
                <w:highlight w:val="white"/>
              </w:rPr>
            </w:pPr>
          </w:p>
        </w:tc>
        <w:tc>
          <w:tcPr>
            <w:tcW w:w="2275" w:type="dxa"/>
            <w:tcBorders>
              <w:bottom w:val="single" w:sz="8" w:space="0" w:color="000000"/>
              <w:right w:val="single" w:sz="8" w:space="0" w:color="000000"/>
            </w:tcBorders>
            <w:shd w:val="clear" w:color="auto" w:fill="FFFFFF"/>
            <w:tcMar>
              <w:top w:w="100" w:type="dxa"/>
              <w:left w:w="100" w:type="dxa"/>
              <w:bottom w:w="100" w:type="dxa"/>
              <w:right w:w="100" w:type="dxa"/>
            </w:tcMar>
          </w:tcPr>
          <w:p w:rsidR="00A95612" w:rsidRDefault="009E113E">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r>
    </w:tbl>
    <w:p w:rsidR="00A95612" w:rsidRDefault="009E113E">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A95612" w:rsidRDefault="009E113E">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A95612" w:rsidRDefault="009E113E">
      <w:pPr>
        <w:spacing w:before="120"/>
        <w:ind w:left="1360" w:hanging="6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Запланована вартість медичних послуг становить _____________ гривень, у тому числі* ____________________.</w:t>
      </w:r>
    </w:p>
    <w:p w:rsidR="00A95612" w:rsidRDefault="009E113E">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Сторони можуть протягом строку дії договору переглядати заплановану вартість медичних послуг із внесенням відповідних змін до нього.</w:t>
      </w:r>
    </w:p>
    <w:p w:rsidR="00A95612" w:rsidRDefault="009E113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Звітним п</w:t>
      </w:r>
      <w:r>
        <w:rPr>
          <w:rFonts w:ascii="Times New Roman" w:eastAsia="Times New Roman" w:hAnsi="Times New Roman" w:cs="Times New Roman"/>
          <w:sz w:val="24"/>
          <w:szCs w:val="24"/>
          <w:highlight w:val="white"/>
        </w:rPr>
        <w:t>еріодом є один календарний місяць.</w:t>
      </w:r>
    </w:p>
    <w:p w:rsidR="00A95612" w:rsidRDefault="009E113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Надавач подає звіт про медичні послуги до 10 числа наступного звітного періоду. </w:t>
      </w:r>
    </w:p>
    <w:p w:rsidR="00A95612" w:rsidRDefault="009E113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звіті про медичні послуги зазначаються усі послуги за договором, про надання яких станом на 23 годину 59 хвилин останнього дня звітного пе</w:t>
      </w:r>
      <w:r>
        <w:rPr>
          <w:rFonts w:ascii="Times New Roman" w:eastAsia="Times New Roman" w:hAnsi="Times New Roman" w:cs="Times New Roman"/>
          <w:sz w:val="24"/>
          <w:szCs w:val="24"/>
          <w:highlight w:val="white"/>
        </w:rPr>
        <w:t xml:space="preserve">ріоду </w:t>
      </w:r>
      <w:proofErr w:type="spellStart"/>
      <w:r>
        <w:rPr>
          <w:rFonts w:ascii="Times New Roman" w:eastAsia="Times New Roman" w:hAnsi="Times New Roman" w:cs="Times New Roman"/>
          <w:sz w:val="24"/>
          <w:szCs w:val="24"/>
          <w:highlight w:val="white"/>
        </w:rPr>
        <w:t>внесено</w:t>
      </w:r>
      <w:proofErr w:type="spellEnd"/>
      <w:r>
        <w:rPr>
          <w:rFonts w:ascii="Times New Roman" w:eastAsia="Times New Roman" w:hAnsi="Times New Roman" w:cs="Times New Roman"/>
          <w:sz w:val="24"/>
          <w:szCs w:val="24"/>
          <w:highlight w:val="white"/>
        </w:rPr>
        <w:t xml:space="preserve"> інформацію до електронної системи охорони здоров’я (далі - система).</w:t>
      </w:r>
    </w:p>
    <w:p w:rsidR="00A95612" w:rsidRDefault="009E113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Звіт про медичні послуги за останній звітний період подається до 23 грудня та повинен містити дані про надані послуги, інформація про які внесена до системи станом на 23 год</w:t>
      </w:r>
      <w:r>
        <w:rPr>
          <w:rFonts w:ascii="Times New Roman" w:eastAsia="Times New Roman" w:hAnsi="Times New Roman" w:cs="Times New Roman"/>
          <w:sz w:val="24"/>
          <w:szCs w:val="24"/>
          <w:highlight w:val="white"/>
        </w:rPr>
        <w:t>ину 59 хвилин 20 грудня. Послуги, надані після 20 грудня, включаються до звіту про медичні послуги за січень наступного року відповідно до умов договору.</w:t>
      </w:r>
    </w:p>
    <w:p w:rsidR="00A95612" w:rsidRDefault="009E113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Разом із звітом про медичні послуги надавач подає рахунок, в якому зазначається сума до сплати за звітний період.</w:t>
      </w:r>
    </w:p>
    <w:p w:rsidR="00A95612" w:rsidRDefault="009E113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здійснення авансового платежу надавач подає звіт про медичні послуги у строки, встановлені цим пунктом, але не пізніше ніж за два робоч</w:t>
      </w:r>
      <w:r>
        <w:rPr>
          <w:rFonts w:ascii="Times New Roman" w:eastAsia="Times New Roman" w:hAnsi="Times New Roman" w:cs="Times New Roman"/>
          <w:sz w:val="24"/>
          <w:szCs w:val="24"/>
          <w:highlight w:val="white"/>
        </w:rPr>
        <w:t>их дні до граничного строку для подання замовником підтвердних документів органам Казначейства відповідно до законодавства.</w:t>
      </w:r>
    </w:p>
    <w:p w:rsidR="00A95612" w:rsidRDefault="009E113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Разом із звітом про медичні послуги надавач подає рахунок, в якому зазначається сума до сплати за звітний період, крім сплаченої поп</w:t>
      </w:r>
      <w:r>
        <w:rPr>
          <w:rFonts w:ascii="Times New Roman" w:eastAsia="Times New Roman" w:hAnsi="Times New Roman" w:cs="Times New Roman"/>
          <w:sz w:val="24"/>
          <w:szCs w:val="24"/>
          <w:highlight w:val="white"/>
        </w:rPr>
        <w:t>ередньої оплати за такі послуги. У разі здійснення авансового платежу у рахунку також зазначається сума авансу на наступний звітний період.</w:t>
      </w:r>
    </w:p>
    <w:p w:rsidR="00A95612" w:rsidRDefault="009E113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Гранична сума оплати за медичні послуги за відповідний місяць становить**</w:t>
      </w:r>
    </w:p>
    <w:tbl>
      <w:tblPr>
        <w:tblStyle w:val="a7"/>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97"/>
        <w:gridCol w:w="1667"/>
        <w:gridCol w:w="1965"/>
        <w:gridCol w:w="2322"/>
        <w:gridCol w:w="1908"/>
        <w:gridCol w:w="2079"/>
        <w:gridCol w:w="2507"/>
        <w:gridCol w:w="220"/>
      </w:tblGrid>
      <w:tr w:rsidR="00A95612">
        <w:trPr>
          <w:trHeight w:val="500"/>
        </w:trPr>
        <w:tc>
          <w:tcPr>
            <w:tcW w:w="13756" w:type="dxa"/>
            <w:gridSpan w:val="7"/>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Критерії, за якими встановлено граничну</w:t>
            </w:r>
            <w:r>
              <w:rPr>
                <w:rFonts w:ascii="Times New Roman" w:eastAsia="Times New Roman" w:hAnsi="Times New Roman" w:cs="Times New Roman"/>
                <w:b/>
                <w:sz w:val="16"/>
                <w:szCs w:val="16"/>
                <w:highlight w:val="white"/>
              </w:rPr>
              <w:t xml:space="preserve"> суму оплати</w:t>
            </w:r>
          </w:p>
        </w:tc>
        <w:tc>
          <w:tcPr>
            <w:tcW w:w="204" w:type="dxa"/>
            <w:shd w:val="clear" w:color="auto" w:fill="auto"/>
            <w:tcMar>
              <w:top w:w="100" w:type="dxa"/>
              <w:left w:w="100" w:type="dxa"/>
              <w:bottom w:w="100" w:type="dxa"/>
              <w:right w:w="100" w:type="dxa"/>
            </w:tcMar>
          </w:tcPr>
          <w:p w:rsidR="00A95612" w:rsidRDefault="00A95612">
            <w:pPr>
              <w:ind w:left="120"/>
              <w:rPr>
                <w:highlight w:val="white"/>
              </w:rPr>
            </w:pPr>
          </w:p>
        </w:tc>
      </w:tr>
      <w:tr w:rsidR="00A95612">
        <w:trPr>
          <w:trHeight w:val="890"/>
        </w:trPr>
        <w:tc>
          <w:tcPr>
            <w:tcW w:w="1297" w:type="dxa"/>
            <w:vMerge w:val="restart"/>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Період ,</w:t>
            </w:r>
          </w:p>
          <w:p w:rsidR="00A95612" w:rsidRDefault="009E113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місяць</w:t>
            </w:r>
          </w:p>
        </w:tc>
        <w:tc>
          <w:tcPr>
            <w:tcW w:w="1668"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кількість медичних послуг</w:t>
            </w:r>
          </w:p>
        </w:tc>
        <w:tc>
          <w:tcPr>
            <w:tcW w:w="1967"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2324"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910"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2081"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2509"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Гранична сума оплати, грн</w:t>
            </w:r>
          </w:p>
        </w:tc>
        <w:tc>
          <w:tcPr>
            <w:tcW w:w="204" w:type="dxa"/>
            <w:shd w:val="clear" w:color="auto" w:fill="auto"/>
            <w:tcMar>
              <w:top w:w="100" w:type="dxa"/>
              <w:left w:w="100" w:type="dxa"/>
              <w:bottom w:w="100" w:type="dxa"/>
              <w:right w:w="100" w:type="dxa"/>
            </w:tcMar>
          </w:tcPr>
          <w:p w:rsidR="00A95612" w:rsidRDefault="00A95612">
            <w:pPr>
              <w:ind w:left="120"/>
              <w:rPr>
                <w:highlight w:val="white"/>
              </w:rPr>
            </w:pPr>
          </w:p>
        </w:tc>
      </w:tr>
      <w:tr w:rsidR="00A95612">
        <w:trPr>
          <w:trHeight w:val="890"/>
        </w:trPr>
        <w:tc>
          <w:tcPr>
            <w:tcW w:w="129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A95612">
            <w:pPr>
              <w:ind w:left="120"/>
              <w:rPr>
                <w:highlight w:val="white"/>
              </w:rPr>
            </w:pPr>
          </w:p>
        </w:tc>
        <w:tc>
          <w:tcPr>
            <w:tcW w:w="166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A95612">
            <w:pPr>
              <w:ind w:left="120"/>
              <w:rPr>
                <w:highlight w:val="white"/>
              </w:rPr>
            </w:pPr>
          </w:p>
        </w:tc>
        <w:tc>
          <w:tcPr>
            <w:tcW w:w="19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A95612">
            <w:pPr>
              <w:ind w:left="120"/>
              <w:rPr>
                <w:highlight w:val="white"/>
              </w:rPr>
            </w:pPr>
          </w:p>
        </w:tc>
        <w:tc>
          <w:tcPr>
            <w:tcW w:w="23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A95612">
            <w:pPr>
              <w:ind w:left="120"/>
              <w:rPr>
                <w:highlight w:val="white"/>
              </w:rPr>
            </w:pPr>
          </w:p>
        </w:tc>
        <w:tc>
          <w:tcPr>
            <w:tcW w:w="191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A95612">
            <w:pPr>
              <w:ind w:left="120"/>
              <w:rPr>
                <w:highlight w:val="white"/>
              </w:rPr>
            </w:pPr>
          </w:p>
        </w:tc>
        <w:tc>
          <w:tcPr>
            <w:tcW w:w="20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A95612">
            <w:pPr>
              <w:ind w:left="120"/>
              <w:rPr>
                <w:highlight w:val="white"/>
              </w:rPr>
            </w:pPr>
          </w:p>
        </w:tc>
        <w:tc>
          <w:tcPr>
            <w:tcW w:w="250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A95612">
            <w:pPr>
              <w:ind w:left="120"/>
              <w:rPr>
                <w:highlight w:val="white"/>
              </w:rPr>
            </w:pPr>
          </w:p>
        </w:tc>
        <w:tc>
          <w:tcPr>
            <w:tcW w:w="204" w:type="dxa"/>
            <w:shd w:val="clear" w:color="auto" w:fill="auto"/>
            <w:tcMar>
              <w:top w:w="100" w:type="dxa"/>
              <w:left w:w="100" w:type="dxa"/>
              <w:bottom w:w="100" w:type="dxa"/>
              <w:right w:w="100" w:type="dxa"/>
            </w:tcMar>
          </w:tcPr>
          <w:p w:rsidR="00A95612" w:rsidRDefault="00A95612">
            <w:pPr>
              <w:ind w:left="120"/>
              <w:rPr>
                <w:highlight w:val="white"/>
              </w:rPr>
            </w:pPr>
          </w:p>
        </w:tc>
      </w:tr>
      <w:tr w:rsidR="00A95612">
        <w:trPr>
          <w:trHeight w:val="53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Квітень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95612" w:rsidRDefault="00A95612">
            <w:pPr>
              <w:ind w:left="120"/>
              <w:rPr>
                <w:highlight w:val="white"/>
              </w:rPr>
            </w:pPr>
          </w:p>
        </w:tc>
      </w:tr>
      <w:tr w:rsidR="00A95612">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Травень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95612" w:rsidRDefault="00A95612">
            <w:pPr>
              <w:ind w:left="120"/>
              <w:rPr>
                <w:highlight w:val="white"/>
              </w:rPr>
            </w:pPr>
          </w:p>
        </w:tc>
      </w:tr>
      <w:tr w:rsidR="00A95612">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Червень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95612" w:rsidRDefault="00A95612">
            <w:pPr>
              <w:ind w:left="120"/>
              <w:rPr>
                <w:highlight w:val="white"/>
              </w:rPr>
            </w:pPr>
          </w:p>
        </w:tc>
      </w:tr>
      <w:tr w:rsidR="00A95612">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95612" w:rsidRDefault="00A95612">
            <w:pPr>
              <w:ind w:left="120"/>
              <w:rPr>
                <w:highlight w:val="white"/>
              </w:rPr>
            </w:pPr>
          </w:p>
        </w:tc>
      </w:tr>
      <w:tr w:rsidR="00A95612">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Серпень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95612" w:rsidRDefault="00A95612">
            <w:pPr>
              <w:ind w:left="120"/>
              <w:rPr>
                <w:highlight w:val="white"/>
              </w:rPr>
            </w:pPr>
          </w:p>
        </w:tc>
      </w:tr>
      <w:tr w:rsidR="00A95612">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Вересень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95612" w:rsidRDefault="00A95612">
            <w:pPr>
              <w:ind w:left="120"/>
              <w:rPr>
                <w:highlight w:val="white"/>
              </w:rPr>
            </w:pPr>
          </w:p>
        </w:tc>
      </w:tr>
      <w:tr w:rsidR="00A95612">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Жовтень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95612" w:rsidRDefault="00A95612">
            <w:pPr>
              <w:ind w:left="120"/>
              <w:rPr>
                <w:highlight w:val="white"/>
              </w:rPr>
            </w:pPr>
          </w:p>
        </w:tc>
      </w:tr>
      <w:tr w:rsidR="00A95612">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Листопад</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95612" w:rsidRDefault="00A95612">
            <w:pPr>
              <w:ind w:left="120"/>
              <w:rPr>
                <w:highlight w:val="white"/>
              </w:rPr>
            </w:pPr>
          </w:p>
        </w:tc>
      </w:tr>
      <w:tr w:rsidR="00A95612">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Грудень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95612" w:rsidRDefault="009E113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95612" w:rsidRDefault="00A95612">
            <w:pPr>
              <w:ind w:left="120"/>
              <w:rPr>
                <w:highlight w:val="white"/>
              </w:rPr>
            </w:pPr>
          </w:p>
        </w:tc>
      </w:tr>
    </w:tbl>
    <w:p w:rsidR="00A95612" w:rsidRDefault="009E113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коли протягом трьох місяців підряд ціна наданих медичних послуг вища або нижча, ніж запланована вартість медичних послуг за відповідний квартал, на вимогу замовника сторони повинні підписати договір про внесення змін до договору, в якому визначити с</w:t>
      </w:r>
      <w:r>
        <w:rPr>
          <w:rFonts w:ascii="Times New Roman" w:eastAsia="Times New Roman" w:hAnsi="Times New Roman" w:cs="Times New Roman"/>
          <w:sz w:val="24"/>
          <w:szCs w:val="24"/>
          <w:highlight w:val="white"/>
        </w:rPr>
        <w:t>кориговані заплановану вартість послуг та у разі потреби граничні суми оплати на наступні місяці. У разі ухилення надавача від підписання договору про внесення змін до договору стосовно коригування ціни договору замовник має право зупинити оплату послуг за</w:t>
      </w:r>
      <w:r>
        <w:rPr>
          <w:rFonts w:ascii="Times New Roman" w:eastAsia="Times New Roman" w:hAnsi="Times New Roman" w:cs="Times New Roman"/>
          <w:sz w:val="24"/>
          <w:szCs w:val="24"/>
          <w:highlight w:val="white"/>
        </w:rPr>
        <w:t xml:space="preserve"> договором.</w:t>
      </w:r>
    </w:p>
    <w:p w:rsidR="00A95612" w:rsidRDefault="009E113E">
      <w:pPr>
        <w:spacing w:before="120"/>
        <w:ind w:left="720" w:hanging="1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Надавач зобов’язується:</w:t>
      </w:r>
    </w:p>
    <w:p w:rsidR="00A95612" w:rsidRDefault="009E113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під час надання медичних послуг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клінічних протоколів;</w:t>
      </w:r>
    </w:p>
    <w:p w:rsidR="00A95612" w:rsidRDefault="009E113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надавати медичні пос</w:t>
      </w:r>
      <w:r>
        <w:rPr>
          <w:rFonts w:ascii="Times New Roman" w:eastAsia="Times New Roman" w:hAnsi="Times New Roman" w:cs="Times New Roman"/>
          <w:sz w:val="24"/>
          <w:szCs w:val="24"/>
          <w:highlight w:val="white"/>
        </w:rPr>
        <w:t>луги в обсязі не меншому, ніж визначено в специфікації;</w:t>
      </w:r>
    </w:p>
    <w:p w:rsidR="00A95612" w:rsidRDefault="009E113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інші обов’язки: своєчасно вносити до системи медичну документацію про медичне обслуговування пацієнтів.</w:t>
      </w:r>
    </w:p>
    <w:p w:rsidR="00A95612" w:rsidRDefault="009E113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 Тарифи та коригувальні коефіцієнти визначаються відповідно до законодавства.</w:t>
      </w:r>
    </w:p>
    <w:p w:rsidR="00A95612" w:rsidRDefault="009E113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 Інші умови</w:t>
      </w:r>
    </w:p>
    <w:p w:rsidR="00A95612" w:rsidRDefault="009E113E">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7.1 – Умови закупівлі медичних послуг, які надаються згідно з цим додатком</w:t>
      </w:r>
    </w:p>
    <w:p w:rsidR="00A95612" w:rsidRDefault="00A95612">
      <w:pPr>
        <w:spacing w:before="120"/>
        <w:ind w:firstLine="708"/>
        <w:jc w:val="both"/>
        <w:rPr>
          <w:rFonts w:ascii="Times New Roman" w:eastAsia="Times New Roman" w:hAnsi="Times New Roman" w:cs="Times New Roman"/>
          <w:sz w:val="24"/>
          <w:szCs w:val="24"/>
          <w:highlight w:val="white"/>
        </w:rPr>
      </w:pPr>
    </w:p>
    <w:p w:rsidR="00A95612" w:rsidRDefault="009E113E">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7.2 – Специфікація медичних послуг, які надаються згідно з цим додатком</w:t>
      </w:r>
    </w:p>
    <w:p w:rsidR="00A95612" w:rsidRDefault="00A95612">
      <w:pPr>
        <w:spacing w:before="120"/>
        <w:ind w:firstLine="708"/>
        <w:jc w:val="both"/>
        <w:rPr>
          <w:rFonts w:ascii="Times New Roman" w:eastAsia="Times New Roman" w:hAnsi="Times New Roman" w:cs="Times New Roman"/>
          <w:sz w:val="24"/>
          <w:szCs w:val="24"/>
          <w:highlight w:val="white"/>
        </w:rPr>
      </w:pPr>
    </w:p>
    <w:p w:rsidR="00A95612" w:rsidRDefault="009E113E">
      <w:pPr>
        <w:spacing w:before="1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4"/>
          <w:szCs w:val="24"/>
          <w:highlight w:val="white"/>
        </w:rPr>
        <w:t xml:space="preserve"> ___________________________________________________________.</w:t>
      </w:r>
    </w:p>
    <w:p w:rsidR="00A95612" w:rsidRDefault="009E113E">
      <w:pPr>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 xml:space="preserve">** Заповнюється у разі потреби, якщо оплата </w:t>
      </w:r>
      <w:r>
        <w:rPr>
          <w:rFonts w:ascii="Times New Roman" w:eastAsia="Times New Roman" w:hAnsi="Times New Roman" w:cs="Times New Roman"/>
          <w:sz w:val="20"/>
          <w:szCs w:val="20"/>
          <w:highlight w:val="white"/>
        </w:rPr>
        <w:t xml:space="preserve">здійснюється нерівними частинами протягом строку дії договору. Критеріями для встановлення граничної суми оплати можуть бути усі або окремі послуги, або окремі групи послуг із зазначенням інформації про те, чи встановлена гранична сума оплати для надавача </w:t>
      </w:r>
      <w:r>
        <w:rPr>
          <w:rFonts w:ascii="Times New Roman" w:eastAsia="Times New Roman" w:hAnsi="Times New Roman" w:cs="Times New Roman"/>
          <w:sz w:val="20"/>
          <w:szCs w:val="20"/>
          <w:highlight w:val="white"/>
        </w:rPr>
        <w:t>загалом або окремого місця надання медичних послуг.</w:t>
      </w:r>
    </w:p>
    <w:p w:rsidR="00A95612" w:rsidRDefault="009E113E">
      <w:pPr>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
    <w:p w:rsidR="00A95612" w:rsidRDefault="009E113E">
      <w:pPr>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A95612" w:rsidRDefault="00A95612">
      <w:pPr>
        <w:rPr>
          <w:highlight w:val="white"/>
        </w:rPr>
      </w:pPr>
    </w:p>
    <w:sectPr w:rsidR="00A95612">
      <w:pgSz w:w="16838" w:h="11906"/>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612"/>
    <w:rsid w:val="009E113E"/>
    <w:rsid w:val="00A956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E3AFC4-CDAD-4A9E-A5A1-E9979321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2995</Words>
  <Characters>1708</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Пилипенко Наталія Миколаївна</cp:lastModifiedBy>
  <cp:revision>2</cp:revision>
  <dcterms:created xsi:type="dcterms:W3CDTF">2020-03-10T13:13:00Z</dcterms:created>
  <dcterms:modified xsi:type="dcterms:W3CDTF">2020-03-10T13:13:00Z</dcterms:modified>
</cp:coreProperties>
</file>