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BF0546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EA6CA8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EA6CA8">
              <w:rPr>
                <w:color w:val="000000"/>
                <w:sz w:val="24"/>
                <w:szCs w:val="24"/>
              </w:rPr>
              <w:t>28</w:t>
            </w:r>
            <w:r w:rsidR="00F6225A">
              <w:rPr>
                <w:color w:val="000000"/>
                <w:sz w:val="24"/>
                <w:szCs w:val="24"/>
              </w:rPr>
              <w:t>.10.2021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4A">
              <w:rPr>
                <w:sz w:val="24"/>
                <w:szCs w:val="24"/>
              </w:rPr>
              <w:t>№</w:t>
            </w:r>
            <w:r w:rsidR="00EA6CA8">
              <w:rPr>
                <w:sz w:val="24"/>
                <w:szCs w:val="24"/>
              </w:rPr>
              <w:t xml:space="preserve"> 691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Pr="007E09A4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="0094447B" w:rsidRPr="007E09A4">
        <w:rPr>
          <w:rFonts w:ascii="Times New Roman" w:hAnsi="Times New Roman"/>
          <w:sz w:val="24"/>
          <w:szCs w:val="24"/>
        </w:rPr>
        <w:t>”</w:t>
      </w:r>
      <w:r w:rsidR="007E09A4" w:rsidRPr="007E09A4">
        <w:rPr>
          <w:rFonts w:ascii="Times New Roman" w:hAnsi="Times New Roman"/>
          <w:sz w:val="24"/>
          <w:szCs w:val="24"/>
        </w:rPr>
        <w:t xml:space="preserve"> </w:t>
      </w:r>
      <w:r w:rsidR="007E09A4" w:rsidRPr="007E09A4">
        <w:t>–</w:t>
      </w:r>
    </w:p>
    <w:p w:rsidR="00F17B74" w:rsidRPr="00F17B74" w:rsidRDefault="00F17B74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F17B74">
        <w:rPr>
          <w:rFonts w:ascii="Times New Roman" w:hAnsi="Times New Roman"/>
          <w:sz w:val="24"/>
          <w:szCs w:val="24"/>
        </w:rPr>
        <w:t>головного спеціаліста відділу  розробки програмного забезпечення управління розвитку та супроводу систем Департаменту інформаційних технологій</w:t>
      </w:r>
      <w:r>
        <w:rPr>
          <w:rFonts w:ascii="Times New Roman" w:hAnsi="Times New Roman"/>
          <w:sz w:val="24"/>
          <w:szCs w:val="24"/>
        </w:rPr>
        <w:t xml:space="preserve"> (перша вакантна посада)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88"/>
        <w:gridCol w:w="6232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27" w:type="pct"/>
            <w:shd w:val="clear" w:color="auto" w:fill="auto"/>
          </w:tcPr>
          <w:p w:rsidR="009C44A2" w:rsidRPr="00CF5C07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>часть у розробці, доопрацюванні та впровадженні в НСЗУ сучасних інформаційно-телекомунікаційних технологій з метою забезпечення автоматизації та вдосконалення управлінських бізнес-процесів НСЗУ, підвищення продуктивності та скорочення частки ручної праці, підвищення ефе</w:t>
            </w:r>
            <w:r>
              <w:rPr>
                <w:rFonts w:ascii="Times New Roman" w:hAnsi="Times New Roman"/>
                <w:sz w:val="24"/>
                <w:szCs w:val="24"/>
              </w:rPr>
              <w:t>ктивності та якості роботи НСЗУ;</w:t>
            </w:r>
          </w:p>
          <w:p w:rsidR="009C44A2" w:rsidRPr="006D1E2F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>наліз пропозицій самостійних структурних підрозділів НСЗУ щодо розроблення та внесення змін до функціональності інформаційних систем т</w:t>
            </w:r>
            <w:r>
              <w:rPr>
                <w:rFonts w:ascii="Times New Roman" w:hAnsi="Times New Roman"/>
                <w:sz w:val="24"/>
                <w:szCs w:val="24"/>
              </w:rPr>
              <w:t>а програмного забезпечення НСЗУ;</w:t>
            </w:r>
          </w:p>
          <w:p w:rsidR="009C44A2" w:rsidRPr="00CF5C07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>часть у розробці та доопрацюванні програмно</w:t>
            </w:r>
            <w:r>
              <w:rPr>
                <w:rFonts w:ascii="Times New Roman" w:hAnsi="Times New Roman"/>
                <w:sz w:val="24"/>
                <w:szCs w:val="24"/>
              </w:rPr>
              <w:t>го забезпечення та веб-сервісів а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>втоматизованих систем, що знаходяться у розпорядженні НСЗУ, за запитами структурних підрозділів НСЗУ, відповідно до нормативних актів та внутр</w:t>
            </w:r>
            <w:r>
              <w:rPr>
                <w:rFonts w:ascii="Times New Roman" w:hAnsi="Times New Roman"/>
                <w:sz w:val="24"/>
                <w:szCs w:val="24"/>
              </w:rPr>
              <w:t>ішніх регламентуючих актів НСЗУ;</w:t>
            </w:r>
          </w:p>
          <w:p w:rsidR="009C44A2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 xml:space="preserve"> межах компетенції участь у формуванні проектів планів фінансування робіт з інформатизації, підготовки документів для проведення оплати в</w:t>
            </w:r>
            <w:r>
              <w:rPr>
                <w:rFonts w:ascii="Times New Roman" w:hAnsi="Times New Roman"/>
                <w:sz w:val="24"/>
                <w:szCs w:val="24"/>
              </w:rPr>
              <w:t>иконаних робіт, наданих послуг</w:t>
            </w:r>
            <w:r>
              <w:rPr>
                <w:color w:val="000000"/>
                <w:szCs w:val="28"/>
              </w:rPr>
              <w:t>;</w:t>
            </w:r>
          </w:p>
          <w:p w:rsidR="009C44A2" w:rsidRPr="006D1E2F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 xml:space="preserve"> заход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 xml:space="preserve"> із недопущення розголошення у будь-який спосіб персональних даних, які було довірено або стали відомі у зв’язку з виконанням проф</w:t>
            </w:r>
            <w:r>
              <w:rPr>
                <w:rFonts w:ascii="Times New Roman" w:hAnsi="Times New Roman"/>
                <w:sz w:val="24"/>
                <w:szCs w:val="24"/>
              </w:rPr>
              <w:t>есійних чи службових обов’язків;</w:t>
            </w:r>
          </w:p>
          <w:p w:rsidR="009C44A2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 xml:space="preserve"> заход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 xml:space="preserve"> із належного збереження документації, первинного коду програмного забезпечення та результатів робіт підрозділу в електронному вигл</w:t>
            </w:r>
            <w:r>
              <w:rPr>
                <w:rFonts w:ascii="Times New Roman" w:hAnsi="Times New Roman"/>
                <w:sz w:val="24"/>
                <w:szCs w:val="24"/>
              </w:rPr>
              <w:t>яді на визначених ресурсах НСЗУ</w:t>
            </w:r>
            <w:r>
              <w:rPr>
                <w:color w:val="000000"/>
                <w:szCs w:val="28"/>
              </w:rPr>
              <w:t>;</w:t>
            </w:r>
          </w:p>
          <w:p w:rsidR="009C44A2" w:rsidRPr="006D1E2F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Pr="003F5CAA">
              <w:rPr>
                <w:rFonts w:ascii="Times New Roman" w:hAnsi="Times New Roman"/>
                <w:sz w:val="24"/>
                <w:szCs w:val="24"/>
              </w:rPr>
              <w:t>аліз кращого досвіду стосовно впровадження інформаційно-аналітичних систем (з використанням іноземних джерел інформації, в тому числі статистичних баз даних, що зн</w:t>
            </w:r>
            <w:r>
              <w:rPr>
                <w:rFonts w:ascii="Times New Roman" w:hAnsi="Times New Roman"/>
                <w:sz w:val="24"/>
                <w:szCs w:val="24"/>
              </w:rPr>
              <w:t>аходяться у відкритому доступі);</w:t>
            </w:r>
          </w:p>
          <w:p w:rsidR="009C44A2" w:rsidRPr="00CF5C07" w:rsidRDefault="009C44A2" w:rsidP="009C44A2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213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928EA">
              <w:rPr>
                <w:rFonts w:ascii="Times New Roman" w:hAnsi="Times New Roman"/>
                <w:sz w:val="24"/>
                <w:szCs w:val="24"/>
              </w:rPr>
              <w:t xml:space="preserve">часть у супроводі прикладних систем, веб-сервісів у частині підтримки процесів обробки інформації та даних </w:t>
            </w:r>
            <w:proofErr w:type="spellStart"/>
            <w:r w:rsidRPr="002928EA">
              <w:rPr>
                <w:rFonts w:ascii="Times New Roman" w:hAnsi="Times New Roman"/>
                <w:sz w:val="24"/>
                <w:szCs w:val="24"/>
              </w:rPr>
              <w:t>контрактування</w:t>
            </w:r>
            <w:proofErr w:type="spellEnd"/>
            <w:r w:rsidRPr="002928EA">
              <w:rPr>
                <w:rFonts w:ascii="Times New Roman" w:hAnsi="Times New Roman"/>
                <w:sz w:val="24"/>
                <w:szCs w:val="24"/>
              </w:rPr>
              <w:t>, звітності за запитом інших підрозділів НСЗУ</w:t>
            </w:r>
            <w:r w:rsidRPr="006D1E2F">
              <w:rPr>
                <w:color w:val="000000"/>
                <w:szCs w:val="28"/>
              </w:rPr>
              <w:t xml:space="preserve"> 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27" w:type="pct"/>
          </w:tcPr>
          <w:p w:rsidR="009C44A2" w:rsidRPr="00D91231" w:rsidRDefault="009C44A2" w:rsidP="009C44A2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9C44A2" w:rsidRDefault="009C44A2" w:rsidP="009C44A2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9C44A2" w:rsidRPr="00FD11AB" w:rsidRDefault="009C44A2" w:rsidP="009C44A2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lastRenderedPageBreak/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27" w:type="pct"/>
          </w:tcPr>
          <w:p w:rsidR="009C44A2" w:rsidRDefault="009C44A2" w:rsidP="009C44A2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9C44A2" w:rsidRDefault="009C44A2" w:rsidP="009C44A2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9C44A2" w:rsidRPr="00ED5991" w:rsidRDefault="009C44A2" w:rsidP="009C44A2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27" w:type="pct"/>
          </w:tcPr>
          <w:p w:rsidR="009C44A2" w:rsidRPr="00416ED7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C44A2" w:rsidRPr="00416ED7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9C44A2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9C44A2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9C44A2" w:rsidRPr="00281173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9C44A2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4A2" w:rsidRPr="00D3154A" w:rsidRDefault="009C44A2" w:rsidP="009C44A2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9C44A2" w:rsidRPr="00FB2759" w:rsidRDefault="009C44A2" w:rsidP="009C44A2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9C44A2" w:rsidRPr="00D3154A" w:rsidRDefault="009C44A2" w:rsidP="00EA6CA8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</w:t>
            </w:r>
            <w:r>
              <w:t>7 </w:t>
            </w:r>
            <w:r w:rsidRPr="00685A94">
              <w:t xml:space="preserve">год </w:t>
            </w:r>
            <w:r>
              <w:t>00 </w:t>
            </w:r>
            <w:r w:rsidRPr="00EA6CA8">
              <w:rPr>
                <w:shd w:val="clear" w:color="auto" w:fill="FFFFFF" w:themeFill="background1"/>
              </w:rPr>
              <w:t>хв 0</w:t>
            </w:r>
            <w:r w:rsidR="00EA6CA8" w:rsidRPr="00EA6CA8">
              <w:rPr>
                <w:shd w:val="clear" w:color="auto" w:fill="FFFFFF" w:themeFill="background1"/>
              </w:rPr>
              <w:t>4</w:t>
            </w:r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27" w:type="pct"/>
          </w:tcPr>
          <w:p w:rsidR="009C44A2" w:rsidRPr="00ED5991" w:rsidRDefault="009C44A2" w:rsidP="009C44A2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</w:t>
            </w:r>
            <w:r w:rsidRPr="00855687">
              <w:rPr>
                <w:sz w:val="24"/>
                <w:szCs w:val="24"/>
              </w:rPr>
              <w:lastRenderedPageBreak/>
              <w:t>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27" w:type="pct"/>
          </w:tcPr>
          <w:p w:rsidR="009C44A2" w:rsidRPr="00D3154A" w:rsidRDefault="00EA6CA8" w:rsidP="009C44A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C44A2" w:rsidRPr="006C04DB">
              <w:rPr>
                <w:sz w:val="24"/>
                <w:szCs w:val="24"/>
              </w:rPr>
              <w:t xml:space="preserve"> л</w:t>
            </w:r>
            <w:r w:rsidR="009C44A2">
              <w:rPr>
                <w:sz w:val="24"/>
                <w:szCs w:val="24"/>
              </w:rPr>
              <w:t>истопада</w:t>
            </w:r>
            <w:r w:rsidR="009C44A2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9C44A2" w:rsidRDefault="009C44A2" w:rsidP="009C44A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9C44A2" w:rsidRPr="00D3154A" w:rsidRDefault="009C44A2" w:rsidP="009C44A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C44A2" w:rsidRPr="00CD6C39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9C44A2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</w:t>
            </w:r>
          </w:p>
          <w:p w:rsidR="009C44A2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395DD2" w:rsidRPr="00395DD2" w:rsidRDefault="00395DD2" w:rsidP="00395DD2">
            <w:pPr>
              <w:rPr>
                <w:sz w:val="20"/>
                <w:szCs w:val="20"/>
              </w:rPr>
            </w:pPr>
          </w:p>
          <w:p w:rsidR="009C44A2" w:rsidRPr="00D3154A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9C44A2" w:rsidRDefault="009C44A2" w:rsidP="009C44A2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C44A2" w:rsidRPr="00D3154A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9C44A2" w:rsidRPr="00D3154A" w:rsidRDefault="009C44A2" w:rsidP="009C44A2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9C44A2" w:rsidRPr="00ED5991" w:rsidTr="00F260A3">
        <w:trPr>
          <w:trHeight w:val="1609"/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2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C44A2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9C44A2" w:rsidRPr="00DA0AC7" w:rsidRDefault="009C44A2" w:rsidP="009C44A2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0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27" w:type="pct"/>
          </w:tcPr>
          <w:p w:rsidR="009C44A2" w:rsidRDefault="009C44A2" w:rsidP="009C44A2">
            <w:pPr>
              <w:jc w:val="both"/>
              <w:rPr>
                <w:color w:val="000000"/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E661E8" w:rsidRPr="00DA0AC7" w:rsidRDefault="00E661E8" w:rsidP="009C44A2">
            <w:pPr>
              <w:jc w:val="both"/>
              <w:rPr>
                <w:sz w:val="24"/>
                <w:szCs w:val="24"/>
              </w:rPr>
            </w:pPr>
          </w:p>
        </w:tc>
      </w:tr>
      <w:tr w:rsidR="009C44A2" w:rsidRPr="00ED5991" w:rsidTr="00F260A3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0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27" w:type="pct"/>
          </w:tcPr>
          <w:p w:rsidR="009C44A2" w:rsidRDefault="009C44A2" w:rsidP="009C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  <w:p w:rsidR="00E661E8" w:rsidRPr="00DA0AC7" w:rsidRDefault="00E661E8" w:rsidP="009C44A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44A2" w:rsidRPr="00ED5991" w:rsidTr="00F260A3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0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27" w:type="pct"/>
          </w:tcPr>
          <w:p w:rsidR="009C44A2" w:rsidRDefault="009C44A2" w:rsidP="009C44A2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9C44A2" w:rsidRPr="00DA0AC7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C44A2" w:rsidRPr="00ED5991" w:rsidTr="00F260A3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0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27" w:type="pct"/>
          </w:tcPr>
          <w:p w:rsidR="009C44A2" w:rsidRDefault="009C44A2" w:rsidP="009C4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9C44A2" w:rsidRPr="00DA0AC7" w:rsidRDefault="009C44A2" w:rsidP="009C44A2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9C44A2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9C44A2" w:rsidRPr="007A6CCE" w:rsidRDefault="009C44A2" w:rsidP="009C44A2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lastRenderedPageBreak/>
              <w:t>Вимоги до компетентності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27" w:type="pct"/>
          </w:tcPr>
          <w:p w:rsidR="009C44A2" w:rsidRPr="007A6CCE" w:rsidRDefault="009C44A2" w:rsidP="009C44A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C44A2" w:rsidRPr="00ED5991" w:rsidTr="00F260A3">
        <w:trPr>
          <w:trHeight w:val="1901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9C44A2" w:rsidRDefault="009C44A2" w:rsidP="009C44A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C44A2" w:rsidRPr="00ED5991" w:rsidTr="00F260A3">
        <w:trPr>
          <w:trHeight w:val="1898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9C44A2" w:rsidRPr="00ED5991" w:rsidTr="00F260A3">
        <w:trPr>
          <w:trHeight w:val="1471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9C44A2" w:rsidRPr="00ED5991" w:rsidTr="00F260A3">
        <w:trPr>
          <w:trHeight w:val="1337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9C44A2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909" w:type="pct"/>
            <w:gridSpan w:val="2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27" w:type="pct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0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27" w:type="pct"/>
          </w:tcPr>
          <w:p w:rsidR="009C44A2" w:rsidRPr="00E42A3F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9C44A2" w:rsidRPr="00ED3784" w:rsidRDefault="009C44A2" w:rsidP="009C44A2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9C44A2" w:rsidRPr="00ED5991" w:rsidTr="00F260A3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0" w:type="pct"/>
          </w:tcPr>
          <w:p w:rsidR="009C44A2" w:rsidRPr="00ED5991" w:rsidRDefault="009C44A2" w:rsidP="009C44A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27" w:type="pct"/>
          </w:tcPr>
          <w:p w:rsidR="009C44A2" w:rsidRPr="00776ABE" w:rsidRDefault="009C44A2" w:rsidP="009C44A2">
            <w:pPr>
              <w:spacing w:line="240" w:lineRule="auto"/>
              <w:ind w:right="26"/>
              <w:jc w:val="both"/>
              <w:rPr>
                <w:sz w:val="24"/>
                <w:szCs w:val="24"/>
                <w:lang w:eastAsia="ru-RU"/>
              </w:rPr>
            </w:pPr>
            <w:r w:rsidRPr="00776ABE">
              <w:rPr>
                <w:sz w:val="24"/>
                <w:szCs w:val="24"/>
                <w:lang w:eastAsia="ru-RU"/>
              </w:rPr>
              <w:t>Знання:</w:t>
            </w:r>
          </w:p>
          <w:p w:rsidR="009C44A2" w:rsidRDefault="009C44A2" w:rsidP="009C44A2">
            <w:pPr>
              <w:spacing w:line="240" w:lineRule="auto"/>
              <w:ind w:right="26"/>
              <w:jc w:val="both"/>
              <w:rPr>
                <w:sz w:val="24"/>
                <w:szCs w:val="24"/>
                <w:lang w:eastAsia="ru-RU"/>
              </w:rPr>
            </w:pPr>
            <w:r w:rsidRPr="00776ABE">
              <w:rPr>
                <w:sz w:val="24"/>
                <w:szCs w:val="24"/>
                <w:lang w:eastAsia="ru-RU"/>
              </w:rPr>
              <w:t xml:space="preserve">- Закону України </w:t>
            </w:r>
            <w:r w:rsidRPr="006D1E2F">
              <w:rPr>
                <w:sz w:val="24"/>
                <w:szCs w:val="24"/>
                <w:lang w:eastAsia="ru-RU"/>
              </w:rPr>
              <w:t>“</w:t>
            </w:r>
            <w:r w:rsidRPr="00776ABE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6D1E2F">
              <w:rPr>
                <w:sz w:val="24"/>
                <w:szCs w:val="24"/>
                <w:lang w:eastAsia="ru-RU"/>
              </w:rPr>
              <w:t>”</w:t>
            </w:r>
            <w:r w:rsidRPr="00776ABE">
              <w:rPr>
                <w:sz w:val="24"/>
                <w:szCs w:val="24"/>
                <w:lang w:eastAsia="ru-RU"/>
              </w:rPr>
              <w:t>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Закон України “Про інформацію”;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Закон України “Про доступ до публічної інформації”;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 xml:space="preserve">Закон України “Про основні засади забезпечення </w:t>
            </w:r>
            <w:proofErr w:type="spellStart"/>
            <w:r w:rsidRPr="006D1E2F">
              <w:rPr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6D1E2F">
              <w:rPr>
                <w:sz w:val="24"/>
                <w:szCs w:val="24"/>
                <w:lang w:eastAsia="ru-RU"/>
              </w:rPr>
              <w:t xml:space="preserve"> України”;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Закон України “Про захист інформації в інформаційно-телекомунікаційних системах”;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Закон України “Про Національну програму інформатизації”;</w:t>
            </w:r>
          </w:p>
          <w:p w:rsidR="009C44A2" w:rsidRPr="009C44A2" w:rsidRDefault="009C44A2" w:rsidP="005B3674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right="26" w:firstLine="0"/>
              <w:jc w:val="both"/>
              <w:rPr>
                <w:sz w:val="24"/>
                <w:szCs w:val="24"/>
                <w:lang w:eastAsia="ru-RU"/>
              </w:rPr>
            </w:pPr>
            <w:r w:rsidRPr="009C44A2">
              <w:rPr>
                <w:sz w:val="24"/>
                <w:szCs w:val="24"/>
                <w:lang w:eastAsia="ru-RU"/>
              </w:rPr>
              <w:t>Закон України “Про державні фінансові гарантії медичного обслуговування населення”;</w:t>
            </w:r>
          </w:p>
          <w:p w:rsidR="009C44A2" w:rsidRDefault="009C44A2" w:rsidP="009C44A2">
            <w:pPr>
              <w:spacing w:line="240" w:lineRule="auto"/>
              <w:ind w:right="26"/>
              <w:jc w:val="both"/>
              <w:rPr>
                <w:sz w:val="24"/>
                <w:szCs w:val="24"/>
                <w:lang w:eastAsia="ru-RU"/>
              </w:rPr>
            </w:pPr>
            <w:r w:rsidRPr="00776ABE">
              <w:rPr>
                <w:sz w:val="24"/>
                <w:szCs w:val="24"/>
                <w:lang w:eastAsia="ru-RU"/>
              </w:rPr>
              <w:lastRenderedPageBreak/>
              <w:t>- Постанов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776ABE">
              <w:rPr>
                <w:sz w:val="24"/>
                <w:szCs w:val="24"/>
                <w:lang w:eastAsia="ru-RU"/>
              </w:rPr>
              <w:t xml:space="preserve"> Кабінету Міністрів України від 27.12.2017 </w:t>
            </w:r>
            <w:r>
              <w:rPr>
                <w:sz w:val="24"/>
                <w:szCs w:val="24"/>
                <w:lang w:eastAsia="ru-RU"/>
              </w:rPr>
              <w:br/>
            </w:r>
            <w:r w:rsidRPr="00776ABE">
              <w:rPr>
                <w:sz w:val="24"/>
                <w:szCs w:val="24"/>
                <w:lang w:eastAsia="ru-RU"/>
              </w:rPr>
              <w:t xml:space="preserve">№ 1101 </w:t>
            </w:r>
            <w:r w:rsidRPr="006D1E2F">
              <w:rPr>
                <w:sz w:val="24"/>
                <w:szCs w:val="24"/>
                <w:lang w:eastAsia="ru-RU"/>
              </w:rPr>
              <w:t>“</w:t>
            </w:r>
            <w:r w:rsidRPr="00776ABE">
              <w:rPr>
                <w:sz w:val="24"/>
                <w:szCs w:val="24"/>
                <w:lang w:eastAsia="ru-RU"/>
              </w:rPr>
              <w:t>Про утворення Національної служби здоров’я України</w:t>
            </w:r>
            <w:r w:rsidRPr="006D1E2F">
              <w:rPr>
                <w:sz w:val="24"/>
                <w:szCs w:val="24"/>
                <w:lang w:eastAsia="ru-RU"/>
              </w:rPr>
              <w:t>”</w:t>
            </w:r>
            <w:r w:rsidRPr="00776ABE">
              <w:rPr>
                <w:sz w:val="24"/>
                <w:szCs w:val="24"/>
                <w:lang w:eastAsia="ru-RU"/>
              </w:rPr>
              <w:t>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58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Постанов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6D1E2F">
              <w:rPr>
                <w:sz w:val="24"/>
                <w:szCs w:val="24"/>
                <w:lang w:eastAsia="ru-RU"/>
              </w:rPr>
              <w:t xml:space="preserve"> Кабінету Міністрів України від 30.01.2019 </w:t>
            </w: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6D1E2F">
              <w:rPr>
                <w:sz w:val="24"/>
                <w:szCs w:val="24"/>
                <w:lang w:eastAsia="ru-RU"/>
              </w:rPr>
              <w:t>№ 56 “Деякі питання цифрового розвитку”;</w:t>
            </w:r>
          </w:p>
          <w:p w:rsidR="009C44A2" w:rsidRPr="006D1E2F" w:rsidRDefault="009C44A2" w:rsidP="009C44A2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58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Постанов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6D1E2F">
              <w:rPr>
                <w:sz w:val="24"/>
                <w:szCs w:val="24"/>
                <w:lang w:eastAsia="ru-RU"/>
              </w:rPr>
              <w:t xml:space="preserve"> Кабінету Міністрів України від 29.03.2006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6D1E2F">
              <w:rPr>
                <w:sz w:val="24"/>
                <w:szCs w:val="24"/>
                <w:lang w:eastAsia="ru-RU"/>
              </w:rPr>
              <w:t xml:space="preserve"> № 373 “Про затвердження Правил забезпечення захисту інформації в інформаційних, телекомунікаційних та інформаційно-телекомунікаційних  системах”;</w:t>
            </w:r>
          </w:p>
          <w:p w:rsidR="009C44A2" w:rsidRPr="006D1E2F" w:rsidRDefault="009C44A2" w:rsidP="00F260A3">
            <w:pPr>
              <w:numPr>
                <w:ilvl w:val="0"/>
                <w:numId w:val="12"/>
              </w:numPr>
              <w:tabs>
                <w:tab w:val="left" w:pos="142"/>
                <w:tab w:val="left" w:pos="993"/>
              </w:tabs>
              <w:spacing w:line="240" w:lineRule="auto"/>
              <w:ind w:left="0" w:firstLine="58"/>
              <w:jc w:val="both"/>
              <w:rPr>
                <w:sz w:val="24"/>
                <w:szCs w:val="24"/>
                <w:lang w:eastAsia="ru-RU"/>
              </w:rPr>
            </w:pPr>
            <w:r w:rsidRPr="006D1E2F">
              <w:rPr>
                <w:sz w:val="24"/>
                <w:szCs w:val="24"/>
                <w:lang w:eastAsia="ru-RU"/>
              </w:rPr>
              <w:t>Постанов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6D1E2F">
              <w:rPr>
                <w:sz w:val="24"/>
                <w:szCs w:val="24"/>
                <w:lang w:eastAsia="ru-RU"/>
              </w:rPr>
              <w:t xml:space="preserve"> Кабінету Міністрів України від 04.01.2002</w:t>
            </w:r>
            <w:r>
              <w:rPr>
                <w:sz w:val="24"/>
                <w:szCs w:val="24"/>
                <w:lang w:eastAsia="ru-RU"/>
              </w:rPr>
              <w:t xml:space="preserve">             </w:t>
            </w:r>
            <w:r w:rsidRPr="006D1E2F">
              <w:rPr>
                <w:sz w:val="24"/>
                <w:szCs w:val="24"/>
                <w:lang w:eastAsia="ru-RU"/>
              </w:rPr>
              <w:t xml:space="preserve"> № 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D1E2F">
              <w:rPr>
                <w:sz w:val="24"/>
                <w:szCs w:val="24"/>
                <w:lang w:eastAsia="ru-RU"/>
              </w:rPr>
              <w:t>“Про Поряд</w:t>
            </w:r>
            <w:r w:rsidR="00F260A3">
              <w:rPr>
                <w:sz w:val="24"/>
                <w:szCs w:val="24"/>
                <w:lang w:eastAsia="ru-RU"/>
              </w:rPr>
              <w:t xml:space="preserve">ок </w:t>
            </w:r>
            <w:r w:rsidRPr="006D1E2F">
              <w:rPr>
                <w:sz w:val="24"/>
                <w:szCs w:val="24"/>
                <w:lang w:eastAsia="ru-RU"/>
              </w:rPr>
              <w:t>оприлюднення у мережі Інтернет інформації про діяльність органів виконавчої влади</w:t>
            </w:r>
            <w:r w:rsidR="00F260A3" w:rsidRPr="006D1E2F">
              <w:rPr>
                <w:sz w:val="24"/>
                <w:szCs w:val="24"/>
                <w:lang w:eastAsia="ru-RU"/>
              </w:rPr>
              <w:t>”</w:t>
            </w:r>
            <w:r w:rsidRPr="006D1E2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60A3" w:rsidRPr="00ED5991" w:rsidTr="00F260A3">
        <w:trPr>
          <w:tblCellSpacing w:w="22" w:type="dxa"/>
        </w:trPr>
        <w:tc>
          <w:tcPr>
            <w:tcW w:w="157" w:type="pct"/>
          </w:tcPr>
          <w:p w:rsidR="00F260A3" w:rsidRPr="00ED5991" w:rsidRDefault="00F260A3" w:rsidP="00F260A3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30" w:type="pct"/>
            <w:shd w:val="clear" w:color="auto" w:fill="auto"/>
          </w:tcPr>
          <w:p w:rsidR="00F260A3" w:rsidRPr="00F260A3" w:rsidRDefault="00F260A3" w:rsidP="00F260A3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sz w:val="24"/>
                <w:szCs w:val="24"/>
              </w:rPr>
              <w:t>реалізації державної політики цифрового розвитку відповідно до засад її реалізації органами виконавчої влади</w:t>
            </w:r>
          </w:p>
          <w:p w:rsidR="00F260A3" w:rsidRPr="00F260A3" w:rsidRDefault="00F260A3" w:rsidP="00F260A3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260A3" w:rsidRPr="00F260A3" w:rsidRDefault="00F260A3" w:rsidP="00F260A3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SQL</w:t>
            </w:r>
          </w:p>
          <w:p w:rsidR="00F260A3" w:rsidRP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AE7B7B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PostgreSQL</w:t>
            </w:r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260A3" w:rsidRP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AE7B7B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MongoDB</w:t>
            </w:r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F260A3" w:rsidRP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 w:rsidRPr="00AE7B7B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Pentaho</w:t>
            </w:r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7B7B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PDI</w:t>
            </w:r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аналогів</w:t>
            </w:r>
            <w:proofErr w:type="spellEnd"/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7B7B"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ETL</w:t>
            </w:r>
          </w:p>
          <w:p w:rsid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Програмування на мовах: </w:t>
            </w:r>
          </w:p>
          <w:p w:rsidR="00F260A3" w:rsidRP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Pyton</w:t>
            </w:r>
            <w:proofErr w:type="spellEnd"/>
          </w:p>
          <w:p w:rsidR="00F260A3" w:rsidRP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PHP</w:t>
            </w:r>
          </w:p>
          <w:p w:rsidR="00F260A3" w:rsidRPr="00F260A3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та\або </w:t>
            </w:r>
            <w:r w:rsidRPr="00F260A3">
              <w:rPr>
                <w:rFonts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</w:p>
        </w:tc>
        <w:tc>
          <w:tcPr>
            <w:tcW w:w="3027" w:type="pct"/>
            <w:shd w:val="clear" w:color="auto" w:fill="auto"/>
          </w:tcPr>
          <w:p w:rsidR="00F260A3" w:rsidRDefault="00F260A3" w:rsidP="00F260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Забезпечення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розробки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програмного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коду </w:t>
            </w:r>
            <w:r>
              <w:rPr>
                <w:sz w:val="24"/>
                <w:szCs w:val="24"/>
                <w:lang w:val="en-US" w:eastAsia="ru-RU"/>
              </w:rPr>
              <w:t>web</w:t>
            </w:r>
            <w:r w:rsidRPr="00F260A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застосунків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  <w:r w:rsidRPr="00F260A3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API</w:t>
            </w:r>
            <w:r w:rsidRPr="00F260A3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інтерфейсів,  </w:t>
            </w:r>
            <w:r>
              <w:rPr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>системному ландшафті бізнес-систем ІС НСЗУ, впровадження, експлуатація, адміністрування архітектурних і програмних рішень, а також забезпечення їх безперебійної роботи.</w:t>
            </w:r>
          </w:p>
          <w:p w:rsidR="00F260A3" w:rsidRDefault="00F260A3" w:rsidP="00F260A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260A3" w:rsidRDefault="00F260A3" w:rsidP="00F260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Впевнений користувач ПК: Microsoft Office. </w:t>
            </w:r>
          </w:p>
          <w:p w:rsidR="00F260A3" w:rsidRPr="00921BFF" w:rsidRDefault="00F260A3" w:rsidP="00F260A3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Знання мов програмування SQL</w:t>
            </w:r>
            <w:r w:rsidRPr="00F260A3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Pyton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\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Jango</w:t>
            </w:r>
            <w:proofErr w:type="spellEnd"/>
            <w:r w:rsidRPr="00F260A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PHP</w:t>
            </w:r>
            <w:r w:rsidRPr="00F260A3">
              <w:rPr>
                <w:rFonts w:cs="Times New Roman"/>
                <w:color w:val="000000"/>
                <w:sz w:val="24"/>
                <w:szCs w:val="24"/>
                <w:lang w:eastAsia="ru-RU"/>
              </w:rPr>
              <w:t>\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 w:eastAsia="ru-RU"/>
              </w:rPr>
              <w:t>Laravel</w:t>
            </w:r>
            <w:proofErr w:type="spellEnd"/>
            <w:r w:rsidRPr="00F260A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260A3" w:rsidRPr="00CF7A64" w:rsidRDefault="00F260A3" w:rsidP="00F260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Володіння інструментами роботи із БД: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DBviewer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та\або 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Dbvisualizer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 w:eastAsia="uk-UA"/>
              </w:rPr>
              <w:t>php</w:t>
            </w:r>
            <w:proofErr w:type="spellEnd"/>
            <w:r w:rsidRPr="00F260A3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en-US" w:eastAsia="uk-UA"/>
              </w:rPr>
              <w:t>storm</w:t>
            </w:r>
            <w:r w:rsidRPr="00F260A3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en-US" w:eastAsia="uk-UA"/>
              </w:rPr>
              <w:t>pycharm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, тощо.</w:t>
            </w:r>
          </w:p>
          <w:p w:rsidR="00F260A3" w:rsidRPr="00F260A3" w:rsidRDefault="00F260A3" w:rsidP="00F260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Володіння функціоналом ПЗ: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Git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Microsoft SQL Server,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Apache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Jira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Confluence</w:t>
            </w:r>
            <w:proofErr w:type="spellEnd"/>
            <w:r w:rsidRPr="00F260A3">
              <w:rPr>
                <w:rFonts w:cs="Times New Roman"/>
                <w:color w:val="000000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</w:p>
          <w:p w:rsidR="00F260A3" w:rsidRDefault="00F260A3" w:rsidP="00F260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Впевнені знання БД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Post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en-US" w:eastAsia="uk-UA"/>
              </w:rPr>
              <w:t>g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reSQL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MSSQL,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Mongo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, тощо.</w:t>
            </w:r>
          </w:p>
          <w:p w:rsidR="00F260A3" w:rsidRPr="0028106E" w:rsidRDefault="00F260A3" w:rsidP="00F260A3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uk-UA"/>
              </w:rPr>
              <w:t>Знання клієнт-серверної архітектури, TCP/IP-мережі, розуміння HTTP/HTTPS протоколів, DNS,VPN</w:t>
            </w:r>
          </w:p>
        </w:tc>
      </w:tr>
    </w:tbl>
    <w:p w:rsidR="002D3003" w:rsidRPr="00ED5991" w:rsidRDefault="002D3003" w:rsidP="002D3003">
      <w:pPr>
        <w:spacing w:line="240" w:lineRule="auto"/>
      </w:pPr>
    </w:p>
    <w:p w:rsidR="002D3003" w:rsidRPr="00401739" w:rsidRDefault="002D3003" w:rsidP="002D3003"/>
    <w:p w:rsidR="002D3003" w:rsidRDefault="002D3003" w:rsidP="002D3003"/>
    <w:p w:rsidR="002D3003" w:rsidRDefault="002D3003" w:rsidP="002D3003"/>
    <w:p w:rsidR="00D465EF" w:rsidRPr="002D3003" w:rsidRDefault="00E661E8" w:rsidP="002D3003"/>
    <w:sectPr w:rsidR="00D465EF" w:rsidRPr="002D3003" w:rsidSect="000F6B0A">
      <w:pgSz w:w="11906" w:h="16838"/>
      <w:pgMar w:top="567" w:right="426" w:bottom="851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E95"/>
    <w:multiLevelType w:val="hybridMultilevel"/>
    <w:tmpl w:val="D2386A40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2741"/>
    <w:multiLevelType w:val="hybridMultilevel"/>
    <w:tmpl w:val="66203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1E3F"/>
    <w:multiLevelType w:val="hybridMultilevel"/>
    <w:tmpl w:val="CC624E68"/>
    <w:lvl w:ilvl="0" w:tplc="49F0F31A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8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24F8B"/>
    <w:multiLevelType w:val="hybridMultilevel"/>
    <w:tmpl w:val="BFB89B6E"/>
    <w:lvl w:ilvl="0" w:tplc="037CFB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E371CF"/>
    <w:multiLevelType w:val="hybridMultilevel"/>
    <w:tmpl w:val="BA9475DA"/>
    <w:lvl w:ilvl="0" w:tplc="037CFBA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F6B0A"/>
    <w:rsid w:val="002D3003"/>
    <w:rsid w:val="00395DD2"/>
    <w:rsid w:val="005F6EC6"/>
    <w:rsid w:val="00655AC2"/>
    <w:rsid w:val="006C04DB"/>
    <w:rsid w:val="006D3FDA"/>
    <w:rsid w:val="007E09A4"/>
    <w:rsid w:val="008C3646"/>
    <w:rsid w:val="00906BE3"/>
    <w:rsid w:val="0094447B"/>
    <w:rsid w:val="009C44A2"/>
    <w:rsid w:val="00A96878"/>
    <w:rsid w:val="00B725A4"/>
    <w:rsid w:val="00BF0546"/>
    <w:rsid w:val="00CA1712"/>
    <w:rsid w:val="00CB3C06"/>
    <w:rsid w:val="00D31E8D"/>
    <w:rsid w:val="00E661E8"/>
    <w:rsid w:val="00EA6CA8"/>
    <w:rsid w:val="00F17B74"/>
    <w:rsid w:val="00F260A3"/>
    <w:rsid w:val="00F3729B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5FD8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6624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8</cp:revision>
  <dcterms:created xsi:type="dcterms:W3CDTF">2021-10-25T13:12:00Z</dcterms:created>
  <dcterms:modified xsi:type="dcterms:W3CDTF">2021-10-28T11:31:00Z</dcterms:modified>
</cp:coreProperties>
</file>