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314BB8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314BB8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EB7C8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314BB8">
              <w:rPr>
                <w:color w:val="000000"/>
                <w:sz w:val="24"/>
                <w:szCs w:val="24"/>
                <w:lang w:val="ru-RU"/>
              </w:rPr>
              <w:t>29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>№</w:t>
            </w:r>
            <w:r w:rsidR="00D35443">
              <w:rPr>
                <w:sz w:val="24"/>
                <w:szCs w:val="24"/>
              </w:rPr>
              <w:t xml:space="preserve"> </w:t>
            </w:r>
            <w:r w:rsidR="00EB7C88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314BB8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314BB8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924E31" w:rsidRPr="00924E31" w:rsidRDefault="00924E31" w:rsidP="00314BB8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924E31">
        <w:rPr>
          <w:rFonts w:ascii="Times New Roman" w:hAnsi="Times New Roman"/>
          <w:sz w:val="24"/>
          <w:szCs w:val="24"/>
        </w:rPr>
        <w:t>головного спеціаліста відділу роботи з договорами щодо спеціалізованої медичної допомоги по Центральному, Західному та Південному регіонах управління роботи з договорами щодо спеціалізованої медичної допомоги Департаменту договірної роботи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55"/>
        <w:gridCol w:w="6265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42" w:type="pct"/>
            <w:shd w:val="clear" w:color="auto" w:fill="auto"/>
          </w:tcPr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підготовчу роботу для укладення договорів про медичне обслуговування населення за програмою медичних гарантій щодо спеціалізованої медичної допомоги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(далі </w:t>
            </w:r>
            <w:r w:rsidR="003E193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СМД)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перевірку відповідності закладів охорони здоров’я вимогам, передбаченим законодавством для укладення договорів про медичне обслуговування населення, у порядку, визначеному наказом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роботу щодо укладення, зміни та припинення договорів щодо СМД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надавачами медичних послуг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відділами договірної роботи територіальних органів НСЗУ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підготовку інструкцій (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>) для відповідей операторами інформаційно-довідкової служби НСЗУ з питань СМД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бере участь у розробці 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 xml:space="preserve"> організаційно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розпорядчих документів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168" w:rsidRPr="00924E31" w:rsidRDefault="00924E31" w:rsidP="003E1933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розглядає звернення громадян, запити на отримання публічної інформації, звернення та запити адвокатів і народних депутатів України, листи органів державної влади, органів місцевого самоврядування, </w:t>
            </w:r>
            <w:r w:rsidR="003E1933" w:rsidRPr="00924E31">
              <w:rPr>
                <w:rFonts w:ascii="Times New Roman" w:hAnsi="Times New Roman"/>
                <w:sz w:val="24"/>
                <w:szCs w:val="24"/>
              </w:rPr>
              <w:t>об</w:t>
            </w:r>
            <w:r w:rsidR="003E1933">
              <w:rPr>
                <w:rFonts w:ascii="Times New Roman" w:hAnsi="Times New Roman"/>
                <w:sz w:val="24"/>
                <w:szCs w:val="24"/>
              </w:rPr>
              <w:t>’</w:t>
            </w:r>
            <w:r w:rsidR="003E1933" w:rsidRPr="00924E31">
              <w:rPr>
                <w:rFonts w:ascii="Times New Roman" w:hAnsi="Times New Roman"/>
                <w:sz w:val="24"/>
                <w:szCs w:val="24"/>
              </w:rPr>
              <w:t xml:space="preserve">єднань 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42" w:type="pct"/>
          </w:tcPr>
          <w:p w:rsidR="002D3003" w:rsidRPr="00D91231" w:rsidRDefault="002D3003" w:rsidP="004C1FE1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2D3003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3003" w:rsidRPr="00FD11AB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42" w:type="pct"/>
          </w:tcPr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42" w:type="pct"/>
          </w:tcPr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300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3003" w:rsidRPr="0028117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03" w:rsidRPr="00D3154A" w:rsidRDefault="002D3003" w:rsidP="004C1FE1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3003" w:rsidRPr="00FB2759" w:rsidRDefault="002D3003" w:rsidP="004C1FE1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2D3003" w:rsidRPr="00D3154A" w:rsidRDefault="002D3003" w:rsidP="00EB7C88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D35443">
              <w:t xml:space="preserve">до 17 год 00 хв </w:t>
            </w:r>
            <w:r w:rsidR="00D35443" w:rsidRPr="00D35443">
              <w:t>1</w:t>
            </w:r>
            <w:r w:rsidR="00EB7C88">
              <w:t>4</w:t>
            </w:r>
            <w:r w:rsidRPr="00D35443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314BB8">
              <w:rPr>
                <w:shd w:val="clear" w:color="auto" w:fill="FFFFFF" w:themeFill="background1"/>
                <w:lang w:val="ru-RU"/>
              </w:rPr>
              <w:t>грудня</w:t>
            </w:r>
            <w:proofErr w:type="spellEnd"/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42" w:type="pct"/>
          </w:tcPr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співбесіди (із зазначенням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електронної платформи для комунікації дистанційно)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42" w:type="pct"/>
          </w:tcPr>
          <w:p w:rsidR="002D3003" w:rsidRPr="00D3154A" w:rsidRDefault="00D3544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5443">
              <w:rPr>
                <w:sz w:val="24"/>
                <w:szCs w:val="24"/>
              </w:rPr>
              <w:lastRenderedPageBreak/>
              <w:t>1</w:t>
            </w:r>
            <w:r w:rsidR="00EB7C88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314BB8">
              <w:rPr>
                <w:sz w:val="24"/>
                <w:szCs w:val="24"/>
              </w:rPr>
              <w:t xml:space="preserve"> </w:t>
            </w:r>
            <w:r w:rsidR="00314BB8">
              <w:rPr>
                <w:sz w:val="24"/>
                <w:szCs w:val="24"/>
                <w:lang w:val="ru-RU"/>
              </w:rPr>
              <w:t>грудня</w:t>
            </w:r>
            <w:r w:rsidR="002D3003" w:rsidRPr="00D35443">
              <w:rPr>
                <w:sz w:val="24"/>
                <w:szCs w:val="24"/>
              </w:rPr>
              <w:t xml:space="preserve"> 2021 року о 10 год 00 хв.</w:t>
            </w:r>
          </w:p>
          <w:p w:rsidR="003E1933" w:rsidRDefault="003E193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3003" w:rsidRPr="00CD6C39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E1933" w:rsidRDefault="003E193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3003" w:rsidRPr="00D3154A" w:rsidRDefault="002D3003" w:rsidP="004C1FE1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3003" w:rsidRPr="00ED5991" w:rsidTr="00924E31">
        <w:trPr>
          <w:trHeight w:val="1609"/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42" w:type="pct"/>
          </w:tcPr>
          <w:p w:rsidR="002D3003" w:rsidRPr="00ED5991" w:rsidRDefault="000F6B0A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DA0AC7" w:rsidRDefault="002D300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42" w:type="pct"/>
          </w:tcPr>
          <w:p w:rsidR="002D3003" w:rsidRPr="00DA0AC7" w:rsidRDefault="002D3003" w:rsidP="000F6B0A">
            <w:pPr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2" w:type="pct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924E31">
        <w:trPr>
          <w:trHeight w:val="190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3003" w:rsidRPr="00ED5991" w:rsidTr="00924E31">
        <w:trPr>
          <w:trHeight w:val="1898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D3003" w:rsidRPr="00ED5991" w:rsidTr="00924E31">
        <w:trPr>
          <w:trHeight w:val="147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2D3003" w:rsidRPr="00ED5991" w:rsidTr="00924E31">
        <w:trPr>
          <w:trHeight w:val="1337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2" w:type="pct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42" w:type="pct"/>
          </w:tcPr>
          <w:p w:rsidR="002D3003" w:rsidRPr="00E42A3F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3003" w:rsidRPr="00ED3784" w:rsidRDefault="002D3003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A1712" w:rsidRPr="00ED5991" w:rsidTr="00924E31">
        <w:trPr>
          <w:tblCellSpacing w:w="22" w:type="dxa"/>
        </w:trPr>
        <w:tc>
          <w:tcPr>
            <w:tcW w:w="157" w:type="pct"/>
          </w:tcPr>
          <w:p w:rsidR="00CA1712" w:rsidRPr="00ED5991" w:rsidRDefault="00CA1712" w:rsidP="00CA171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</w:tcPr>
          <w:p w:rsidR="00CA1712" w:rsidRPr="00ED5991" w:rsidRDefault="00CA1712" w:rsidP="00CA171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42" w:type="pct"/>
          </w:tcPr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Знання: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Закону України “Про державні фінансові гарантії медичного обслуговування населення”;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Національної служби здоров’я України”;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411 “Деякі питання електронної системи охорони здоров’я”;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410 “Про договори про медичне обслуговування населення за програмою медичних гарантій”;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15.02.2021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133 “Деякі питання реалізації програми державних гарантій медичного обслуговування населення у II-IV кварталах 2021 року”; </w:t>
            </w:r>
          </w:p>
          <w:p w:rsidR="005F6EC6" w:rsidRDefault="00CC6B0E" w:rsidP="00CC6B0E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Постанови Кабінету Міністрів України від 28.03.2018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>№ 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pct"/>
            <w:shd w:val="clear" w:color="auto" w:fill="auto"/>
          </w:tcPr>
          <w:p w:rsidR="002D3003" w:rsidRPr="00CC6B0E" w:rsidRDefault="00CC6B0E" w:rsidP="005F6EC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C6B0E">
              <w:rPr>
                <w:sz w:val="24"/>
                <w:szCs w:val="24"/>
              </w:rPr>
              <w:t>Знання системи роботи з договорами про медичне обслуговування населення</w:t>
            </w:r>
          </w:p>
        </w:tc>
        <w:tc>
          <w:tcPr>
            <w:tcW w:w="3042" w:type="pct"/>
            <w:shd w:val="clear" w:color="auto" w:fill="auto"/>
          </w:tcPr>
          <w:p w:rsidR="00055168" w:rsidRPr="00CC6B0E" w:rsidRDefault="00CC6B0E" w:rsidP="004C1FE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6B0E">
              <w:rPr>
                <w:sz w:val="24"/>
                <w:szCs w:val="24"/>
              </w:rPr>
              <w:t>Забезпечення здійснення підготовчої роботи для укладення, зміни та припинення договорів про медичне обслуговування населення щодо спеціалізованої медичної допомог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D465EF" w:rsidRPr="002D3003" w:rsidRDefault="00EB7C88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F6B0A"/>
    <w:rsid w:val="00112473"/>
    <w:rsid w:val="002410A2"/>
    <w:rsid w:val="002D3003"/>
    <w:rsid w:val="00314BB8"/>
    <w:rsid w:val="003E1933"/>
    <w:rsid w:val="005F6EC6"/>
    <w:rsid w:val="00617A9F"/>
    <w:rsid w:val="00655AC2"/>
    <w:rsid w:val="006B4D18"/>
    <w:rsid w:val="006C04DB"/>
    <w:rsid w:val="0070504A"/>
    <w:rsid w:val="00906BE3"/>
    <w:rsid w:val="00924E31"/>
    <w:rsid w:val="009C1B6C"/>
    <w:rsid w:val="00A96878"/>
    <w:rsid w:val="00B725A4"/>
    <w:rsid w:val="00BF0546"/>
    <w:rsid w:val="00CA1712"/>
    <w:rsid w:val="00CB3C06"/>
    <w:rsid w:val="00CC6B0E"/>
    <w:rsid w:val="00D35443"/>
    <w:rsid w:val="00EB7C88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95F5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E19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5914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4</cp:revision>
  <dcterms:created xsi:type="dcterms:W3CDTF">2021-11-10T09:45:00Z</dcterms:created>
  <dcterms:modified xsi:type="dcterms:W3CDTF">2021-11-30T08:32:00Z</dcterms:modified>
</cp:coreProperties>
</file>