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2C" w:rsidRDefault="007E348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«Хірургічні операції дорослим та дітям у стаціонарних умовах» ві</w:t>
      </w:r>
      <w:r w:rsidR="001106ED">
        <w:rPr>
          <w:rFonts w:ascii="Times New Roman" w:eastAsia="Times New Roman" w:hAnsi="Times New Roman" w:cs="Times New Roman"/>
          <w:b/>
          <w:sz w:val="24"/>
          <w:szCs w:val="24"/>
          <w:highlight w:val="white"/>
        </w:rPr>
        <w:t>д 03.</w:t>
      </w:r>
      <w:r w:rsidR="004E57D8">
        <w:rPr>
          <w:rFonts w:ascii="Times New Roman" w:eastAsia="Times New Roman" w:hAnsi="Times New Roman" w:cs="Times New Roman"/>
          <w:b/>
          <w:sz w:val="24"/>
          <w:szCs w:val="24"/>
          <w:highlight w:val="white"/>
        </w:rPr>
        <w:t>0</w:t>
      </w:r>
      <w:r w:rsidR="001106ED">
        <w:rPr>
          <w:rFonts w:ascii="Times New Roman" w:eastAsia="Times New Roman" w:hAnsi="Times New Roman" w:cs="Times New Roman"/>
          <w:b/>
          <w:sz w:val="24"/>
          <w:szCs w:val="24"/>
          <w:highlight w:val="white"/>
          <w:lang w:val="uk-UA"/>
        </w:rPr>
        <w:t>7</w:t>
      </w:r>
      <w:r>
        <w:rPr>
          <w:rFonts w:ascii="Times New Roman" w:eastAsia="Times New Roman" w:hAnsi="Times New Roman" w:cs="Times New Roman"/>
          <w:b/>
          <w:sz w:val="24"/>
          <w:szCs w:val="24"/>
          <w:highlight w:val="white"/>
        </w:rPr>
        <w:t>.202</w:t>
      </w:r>
      <w:r>
        <w:rPr>
          <w:rFonts w:ascii="Times New Roman" w:eastAsia="Times New Roman" w:hAnsi="Times New Roman" w:cs="Times New Roman"/>
          <w:b/>
          <w:sz w:val="24"/>
          <w:szCs w:val="24"/>
        </w:rPr>
        <w:t xml:space="preserve">0 року </w:t>
      </w:r>
    </w:p>
    <w:p w:rsidR="004D7F2C" w:rsidRDefault="007E348C">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b/>
          <w:sz w:val="24"/>
          <w:szCs w:val="24"/>
        </w:rPr>
      </w:pPr>
    </w:p>
    <w:p w:rsidR="004D7F2C" w:rsidRDefault="007E348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rsidR="004D7F2C" w:rsidRPr="004E57D8" w:rsidRDefault="004E57D8" w:rsidP="004E57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7E348C" w:rsidRPr="004E57D8">
        <w:rPr>
          <w:rFonts w:ascii="Times New Roman" w:eastAsia="Times New Roman" w:hAnsi="Times New Roman" w:cs="Times New Roman"/>
          <w:sz w:val="24"/>
          <w:szCs w:val="24"/>
        </w:rPr>
        <w:t xml:space="preserve">Строк подання пропозиції спливає </w:t>
      </w:r>
      <w:r w:rsidR="007E348C" w:rsidRPr="004E57D8">
        <w:rPr>
          <w:rFonts w:ascii="Times New Roman" w:eastAsia="Times New Roman" w:hAnsi="Times New Roman" w:cs="Times New Roman"/>
          <w:b/>
          <w:sz w:val="24"/>
          <w:szCs w:val="24"/>
        </w:rPr>
        <w:t xml:space="preserve">о </w:t>
      </w:r>
      <w:r w:rsidR="00473DCB">
        <w:rPr>
          <w:rFonts w:ascii="Times New Roman" w:eastAsia="Times New Roman" w:hAnsi="Times New Roman" w:cs="Times New Roman"/>
          <w:b/>
          <w:sz w:val="24"/>
          <w:szCs w:val="24"/>
          <w:lang w:val="ru-RU"/>
        </w:rPr>
        <w:t>18</w:t>
      </w:r>
      <w:r w:rsidR="002526D5">
        <w:rPr>
          <w:rFonts w:ascii="Times New Roman" w:eastAsia="Times New Roman" w:hAnsi="Times New Roman" w:cs="Times New Roman"/>
          <w:b/>
          <w:sz w:val="24"/>
          <w:szCs w:val="24"/>
        </w:rPr>
        <w:t xml:space="preserve"> годині </w:t>
      </w:r>
      <w:r w:rsidR="00473DCB">
        <w:rPr>
          <w:rFonts w:ascii="Times New Roman" w:eastAsia="Times New Roman" w:hAnsi="Times New Roman" w:cs="Times New Roman"/>
          <w:b/>
          <w:sz w:val="24"/>
          <w:szCs w:val="24"/>
          <w:lang w:val="uk-UA"/>
        </w:rPr>
        <w:t>0</w:t>
      </w:r>
      <w:r w:rsidR="00D44A30">
        <w:rPr>
          <w:rFonts w:ascii="Times New Roman" w:eastAsia="Times New Roman" w:hAnsi="Times New Roman" w:cs="Times New Roman"/>
          <w:b/>
          <w:sz w:val="24"/>
          <w:szCs w:val="24"/>
          <w:lang w:val="uk-UA"/>
        </w:rPr>
        <w:t>0</w:t>
      </w:r>
      <w:r w:rsidR="002526D5">
        <w:rPr>
          <w:rFonts w:ascii="Times New Roman" w:eastAsia="Times New Roman" w:hAnsi="Times New Roman" w:cs="Times New Roman"/>
          <w:b/>
          <w:sz w:val="24"/>
          <w:szCs w:val="24"/>
        </w:rPr>
        <w:t xml:space="preserve"> </w:t>
      </w:r>
      <w:r w:rsidR="007E348C" w:rsidRPr="004E57D8">
        <w:rPr>
          <w:rFonts w:ascii="Times New Roman" w:eastAsia="Times New Roman" w:hAnsi="Times New Roman" w:cs="Times New Roman"/>
          <w:b/>
          <w:sz w:val="24"/>
          <w:szCs w:val="24"/>
        </w:rPr>
        <w:t xml:space="preserve">хвилин за київським часом </w:t>
      </w:r>
      <w:r w:rsidR="00473DCB">
        <w:rPr>
          <w:rFonts w:ascii="Times New Roman" w:eastAsia="Times New Roman" w:hAnsi="Times New Roman" w:cs="Times New Roman"/>
          <w:b/>
          <w:sz w:val="24"/>
          <w:szCs w:val="24"/>
          <w:lang w:val="uk-UA"/>
        </w:rPr>
        <w:t>03</w:t>
      </w:r>
      <w:r w:rsidRPr="004E57D8">
        <w:rPr>
          <w:rFonts w:ascii="Times New Roman" w:eastAsia="Times New Roman" w:hAnsi="Times New Roman" w:cs="Times New Roman"/>
          <w:b/>
          <w:sz w:val="24"/>
          <w:szCs w:val="24"/>
          <w:lang w:val="uk-UA"/>
        </w:rPr>
        <w:t xml:space="preserve"> </w:t>
      </w:r>
      <w:r w:rsidR="001106ED">
        <w:rPr>
          <w:rFonts w:ascii="Times New Roman" w:eastAsia="Times New Roman" w:hAnsi="Times New Roman" w:cs="Times New Roman"/>
          <w:b/>
          <w:sz w:val="24"/>
          <w:szCs w:val="24"/>
          <w:lang w:val="uk-UA"/>
        </w:rPr>
        <w:t>липня</w:t>
      </w:r>
      <w:r w:rsidRPr="004E57D8">
        <w:rPr>
          <w:rFonts w:ascii="Times New Roman" w:eastAsia="Times New Roman" w:hAnsi="Times New Roman" w:cs="Times New Roman"/>
          <w:b/>
          <w:sz w:val="24"/>
          <w:szCs w:val="24"/>
        </w:rPr>
        <w:t xml:space="preserve"> </w:t>
      </w:r>
      <w:r w:rsidR="007E348C" w:rsidRPr="004E57D8">
        <w:rPr>
          <w:rFonts w:ascii="Times New Roman" w:eastAsia="Times New Roman" w:hAnsi="Times New Roman" w:cs="Times New Roman"/>
          <w:b/>
          <w:sz w:val="24"/>
          <w:szCs w:val="24"/>
        </w:rPr>
        <w:t>2020 року</w:t>
      </w:r>
      <w:r w:rsidR="007E348C" w:rsidRPr="004E57D8">
        <w:rPr>
          <w:rFonts w:ascii="Times New Roman" w:eastAsia="Times New Roman" w:hAnsi="Times New Roman" w:cs="Times New Roman"/>
          <w:sz w:val="24"/>
          <w:szCs w:val="24"/>
        </w:rPr>
        <w:t xml:space="preserve">. </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rsidR="004D7F2C" w:rsidRDefault="007E348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1449A6">
        <w:rPr>
          <w:rFonts w:ascii="Times New Roman" w:eastAsia="Times New Roman" w:hAnsi="Times New Roman" w:cs="Times New Roman"/>
          <w:b/>
          <w:sz w:val="24"/>
          <w:szCs w:val="24"/>
          <w:u w:val="single"/>
          <w:lang w:val="ru-RU"/>
        </w:rPr>
        <w:t>31</w:t>
      </w:r>
      <w:bookmarkStart w:id="0" w:name="_GoBack"/>
      <w:bookmarkEnd w:id="0"/>
      <w:r w:rsidR="00C227CD">
        <w:rPr>
          <w:rFonts w:ascii="Times New Roman" w:eastAsia="Times New Roman" w:hAnsi="Times New Roman" w:cs="Times New Roman"/>
          <w:b/>
          <w:sz w:val="24"/>
          <w:szCs w:val="24"/>
          <w:u w:val="single"/>
          <w:lang w:val="uk-UA"/>
        </w:rPr>
        <w:t xml:space="preserve"> сер</w:t>
      </w:r>
      <w:r w:rsidR="00473DCB" w:rsidRPr="00473DCB">
        <w:rPr>
          <w:rFonts w:ascii="Times New Roman" w:eastAsia="Times New Roman" w:hAnsi="Times New Roman" w:cs="Times New Roman"/>
          <w:b/>
          <w:sz w:val="24"/>
          <w:szCs w:val="24"/>
          <w:u w:val="single"/>
          <w:lang w:val="uk-UA"/>
        </w:rPr>
        <w:t xml:space="preserve">пня </w:t>
      </w:r>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rsidR="004D7F2C" w:rsidRDefault="004D7F2C">
      <w:pPr>
        <w:shd w:val="clear" w:color="auto" w:fill="FFFFFF"/>
        <w:spacing w:line="240" w:lineRule="auto"/>
        <w:ind w:firstLine="709"/>
        <w:jc w:val="center"/>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rsidR="004D7F2C" w:rsidRDefault="004D7F2C">
      <w:pPr>
        <w:shd w:val="clear" w:color="auto" w:fill="FFFFFF"/>
        <w:spacing w:line="240" w:lineRule="auto"/>
        <w:ind w:firstLine="709"/>
        <w:jc w:val="both"/>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rsidR="004D7F2C" w:rsidRDefault="007E348C">
      <w:pPr>
        <w:jc w:val="both"/>
        <w:rPr>
          <w:rFonts w:ascii="Times New Roman" w:eastAsia="Times New Roman" w:hAnsi="Times New Roman" w:cs="Times New Roman"/>
          <w:b/>
          <w:i/>
          <w:sz w:val="24"/>
          <w:szCs w:val="24"/>
          <w:highlight w:val="magenta"/>
        </w:rPr>
      </w:pPr>
      <w:r>
        <w:rPr>
          <w:rFonts w:ascii="Times New Roman" w:eastAsia="Times New Roman" w:hAnsi="Times New Roman" w:cs="Times New Roman"/>
          <w:b/>
          <w:i/>
          <w:sz w:val="24"/>
          <w:szCs w:val="24"/>
        </w:rPr>
        <w:t xml:space="preserve"> </w:t>
      </w:r>
    </w:p>
    <w:p w:rsidR="004D7F2C" w:rsidRDefault="007E348C">
      <w:pPr>
        <w:ind w:left="1400" w:hanging="14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Умови надання послуги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стаціонарно.</w:t>
      </w:r>
    </w:p>
    <w:p w:rsidR="004D7F2C" w:rsidRDefault="007E348C">
      <w:pPr>
        <w:ind w:left="1400" w:hanging="140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8"/>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Підстави надання послуги</w:t>
      </w:r>
      <w:r>
        <w:rPr>
          <w:rFonts w:ascii="Times New Roman" w:eastAsia="Times New Roman" w:hAnsi="Times New Roman" w:cs="Times New Roman"/>
          <w:b/>
          <w:sz w:val="24"/>
          <w:szCs w:val="24"/>
          <w:highlight w:val="white"/>
        </w:rPr>
        <w:t>:</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лікуючого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доставлення бригадою екстреної (швидкої) медичної допомоги;</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з іншого клінічного підрозділу закладу в разі перебування пацієнта на стаціонарному лікуванні;</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самозвернення у невідкладному стані.</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організації надання послуг:</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приймального відділення з приймально-оглядовим боксом або відділення невідкладної медичної допомоги для проведення первинного огляду пацієнта та визначення подальшої його маршрутизації.</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відділення / палати інтенсивної терапії для проведення цілодобової інтенсивної терапії та моніторингу, обладнаних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операційного блоку, обладнаного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наступних лабораторних досліджень у закладі або на умовах договору підряду:</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розгорнутий клінічний аналіз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визначення групи крові і резус фактору;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електроліти);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глюкоза в цільній крові або сироватці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СРБ кількісний;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дослідження спинномозкової рідини;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аналіз сечі загальний.</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лабораторії для проведення бактеріологічного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проведення гістологічного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компонентами крові.</w:t>
      </w:r>
    </w:p>
    <w:p w:rsidR="004D7F2C" w:rsidRDefault="007E348C">
      <w:pPr>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організації надання послуги:</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планових та екстрених хірургічних операцій.</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лабораторних досліджень цілодобово.</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 цілодобово.</w:t>
      </w:r>
    </w:p>
    <w:p w:rsidR="004D7F2C" w:rsidRDefault="004D7F2C">
      <w:pPr>
        <w:ind w:firstLine="705"/>
        <w:jc w:val="both"/>
        <w:rPr>
          <w:rFonts w:ascii="Times New Roman" w:eastAsia="Times New Roman" w:hAnsi="Times New Roman" w:cs="Times New Roman"/>
          <w:sz w:val="24"/>
          <w:szCs w:val="24"/>
          <w:highlight w:val="white"/>
        </w:rPr>
      </w:pP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спеціалізації та кількості фахівців:</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Лікар-акушер-гінеколог та/або лікар-комбустіолог, та/або лікар-нейрохірург,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w:t>
      </w:r>
      <w:r>
        <w:rPr>
          <w:rFonts w:ascii="Times New Roman" w:eastAsia="Times New Roman" w:hAnsi="Times New Roman" w:cs="Times New Roman"/>
          <w:sz w:val="24"/>
          <w:szCs w:val="24"/>
          <w:highlight w:val="white"/>
        </w:rPr>
        <w:lastRenderedPageBreak/>
        <w:t xml:space="preserve">судинний, та/або лікар-хірург серцево-судинний, та/або лікар-хірург торакальний, та/або лікар-уролог, та/або лікар-хірург,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2 особи з даного переліку, які працюють за основним місцем роботи в цьому закладі (не стосується медичного чергування).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Лікар-анестезіолог (лікар-анестезіолог дитячий у випадку медичної допомоги дітям) – щонайменше 2 особи, які працюють за основним місцем роботи в цьому закладі (не стосується медичного чергування).</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медична стаціонару – щонайменше 2 особи, які працюють за основним місцем роботи в цьому закладі.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2 особи, які працюють за основним місцем роботи в цьому закладі.</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спеціалізації та кількості фахівців:</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Лікар-акушер-гінеколог та/або лікар-комбустіолог, та/або лікар-нейрохірург, та/або лікар-кардіолог інтервенційний, та/або лікар кардіолог-електрофізіолог,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торакальний, та/або лікар-уролог, та/або лікар-хірург, та/або лікар-хірург серцево-судинний, та/або лікар-хірург судинний,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4 особи з даного переліку,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Лікар-анестезіолог (лікар-анестезіолог дитячий у випадку медичної допомоги дітям) – щонайменше 4 особи,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 з фізичної та реабілітаційної медицини та/або фізичний терапевт, та/або ерготерапевт, та/або лікар з лікувальної фізкультури, та/або лікар з лікувальної фізкультури та спортивної медицини, та/або лікар-фізіотерапевт – щонайменше 1 особа з даного переліку.</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стаціонару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медична-анестезист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4 особи, які працюють за основним місцем роботи в цьому закладі (цілодобовий пост).</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переліку обладнання:</w:t>
      </w:r>
    </w:p>
    <w:p w:rsidR="004D7F2C" w:rsidRDefault="007E348C">
      <w:pPr>
        <w:numPr>
          <w:ilvl w:val="0"/>
          <w:numId w:val="2"/>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УЗД-апарат з можливістю проведення доплерографії;</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електрокардіограф багатоканальний;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рентгенівський апарат;</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портативний дефібрилятор з функцією синхронізації.</w:t>
      </w:r>
    </w:p>
    <w:p w:rsidR="004D7F2C" w:rsidRDefault="007E348C">
      <w:pPr>
        <w:numPr>
          <w:ilvl w:val="0"/>
          <w:numId w:val="3"/>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наркозний апарат/станція;</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апарат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ларингоскоп, ендотрахеальні (інтубаційні) трубки;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(ЧСС, ЕКГ, АТ, SpO2);</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пульсоксиметр;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автоматичний дозатор лікувальних речовин;</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аспіратор(відсмоктувач);</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глюкометр;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тонометр;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коагулятор (моно-, біполярний).</w:t>
      </w:r>
    </w:p>
    <w:p w:rsidR="004D7F2C" w:rsidRDefault="007E348C">
      <w:pPr>
        <w:spacing w:before="240" w:after="24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w:t>
      </w:r>
      <w:r w:rsidR="00F7758C" w:rsidRPr="00F7758C">
        <w:rPr>
          <w:rFonts w:ascii="Times New Roman" w:eastAsia="Times New Roman" w:hAnsi="Times New Roman" w:cs="Times New Roman"/>
          <w:sz w:val="24"/>
          <w:szCs w:val="24"/>
          <w:highlight w:val="white"/>
        </w:rPr>
        <w:t xml:space="preserve">до </w:t>
      </w:r>
      <w:r w:rsidR="00F7758C">
        <w:rPr>
          <w:rFonts w:ascii="Times New Roman" w:eastAsia="Times New Roman" w:hAnsi="Times New Roman" w:cs="Times New Roman"/>
          <w:sz w:val="24"/>
          <w:szCs w:val="24"/>
          <w:highlight w:val="white"/>
        </w:rPr>
        <w:t>01 жовтня</w:t>
      </w:r>
      <w:r w:rsidR="00F7758C" w:rsidRPr="00F7758C">
        <w:rPr>
          <w:rFonts w:ascii="Times New Roman" w:eastAsia="Times New Roman" w:hAnsi="Times New Roman" w:cs="Times New Roman"/>
          <w:sz w:val="24"/>
          <w:szCs w:val="24"/>
          <w:highlight w:val="white"/>
        </w:rPr>
        <w:t xml:space="preserve"> 2020 року</w:t>
      </w:r>
      <w:r>
        <w:rPr>
          <w:rFonts w:ascii="Times New Roman" w:eastAsia="Times New Roman" w:hAnsi="Times New Roman" w:cs="Times New Roman"/>
          <w:sz w:val="24"/>
          <w:szCs w:val="24"/>
          <w:highlight w:val="white"/>
        </w:rPr>
        <w:t xml:space="preserve"> забезпечити наявність та введення в експлуатацію такого обладнання, про що ставить відмітку при заповненні заяви.</w:t>
      </w:r>
    </w:p>
    <w:p w:rsidR="004D7F2C" w:rsidRDefault="004D7F2C">
      <w:pPr>
        <w:ind w:firstLine="708"/>
        <w:jc w:val="both"/>
        <w:rPr>
          <w:rFonts w:ascii="Times New Roman" w:eastAsia="Times New Roman" w:hAnsi="Times New Roman" w:cs="Times New Roman"/>
          <w:sz w:val="24"/>
          <w:szCs w:val="24"/>
          <w:highlight w:val="yellow"/>
        </w:rPr>
      </w:pP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переліку обладнання:</w:t>
      </w:r>
    </w:p>
    <w:p w:rsidR="004D7F2C" w:rsidRDefault="007E348C">
      <w:pPr>
        <w:numPr>
          <w:ilvl w:val="0"/>
          <w:numId w:val="12"/>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ендоскопічне обладнання – гастроскоп, ректороманоскоп або колоноскоп, цистоскоп, – для надання допомоги дорослим; гастроскоп, бронхоскоп – для надання допомоги дітям;</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газовий аналізатор;</w:t>
      </w:r>
    </w:p>
    <w:p w:rsidR="004D7F2C" w:rsidRDefault="007E348C">
      <w:pPr>
        <w:numPr>
          <w:ilvl w:val="0"/>
          <w:numId w:val="13"/>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лапароскопічна стійка;</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з датчиком вимірювання СО2.</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Інші вимоги: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ліцензії на провадження діяльності з обігу наркотичних речовин та прекурсорів.</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rsidR="004D7F2C" w:rsidRDefault="007E348C">
      <w:pPr>
        <w:spacing w:after="160"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w:t>
      </w:r>
      <w:r>
        <w:rPr>
          <w:rFonts w:ascii="Times New Roman" w:eastAsia="Times New Roman" w:hAnsi="Times New Roman" w:cs="Times New Roman"/>
          <w:sz w:val="24"/>
          <w:szCs w:val="24"/>
          <w:highlight w:val="white"/>
        </w:rPr>
        <w:lastRenderedPageBreak/>
        <w:t>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ind w:firstLine="720"/>
        <w:jc w:val="center"/>
        <w:rPr>
          <w:rFonts w:ascii="Times New Roman" w:eastAsia="Times New Roman" w:hAnsi="Times New Roman" w:cs="Times New Roman"/>
          <w:b/>
          <w:sz w:val="24"/>
          <w:szCs w:val="24"/>
        </w:rPr>
      </w:pPr>
    </w:p>
    <w:p w:rsidR="004D7F2C" w:rsidRDefault="007E348C">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rsidR="004D7F2C" w:rsidRDefault="004D7F2C">
      <w:pPr>
        <w:ind w:firstLine="720"/>
        <w:jc w:val="both"/>
        <w:rPr>
          <w:rFonts w:ascii="Times New Roman" w:eastAsia="Times New Roman" w:hAnsi="Times New Roman" w:cs="Times New Roman"/>
          <w:b/>
          <w:sz w:val="24"/>
          <w:szCs w:val="24"/>
        </w:rPr>
      </w:pPr>
    </w:p>
    <w:p w:rsidR="004D7F2C" w:rsidRDefault="007E348C">
      <w:pPr>
        <w:ind w:firstLine="283"/>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Первинний огляд пацієнта з визначенням його маршрутизації.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необхідних лабораторних та інструментальних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хірургічних операцій.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анестезії та анестезіологічного моніторингу під час проведення хірургічних операцій та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післяопераційного моніторингу, знеболення та подальшої медикаментозної терапії.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проведення патоморфологічних досліджень.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цілодобового лікарського та медсестринського догляду за пацієнтами.</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консультацій лікарями інших спеціальностей.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заходів з вторинної профілактики захворювань.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Надання послуг з медичної реабілітації в гострому періоді для запобігання виникнення післяопераційних ускладнень.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rsidR="004D7F2C" w:rsidRDefault="007E348C">
      <w:pPr>
        <w:numPr>
          <w:ilvl w:val="0"/>
          <w:numId w:val="11"/>
        </w:numPr>
        <w:ind w:left="0" w:firstLine="283"/>
        <w:jc w:val="both"/>
      </w:pPr>
      <w:r>
        <w:rPr>
          <w:rFonts w:ascii="Times New Roman" w:eastAsia="Times New Roman" w:hAnsi="Times New Roman" w:cs="Times New Roman"/>
          <w:sz w:val="24"/>
          <w:szCs w:val="24"/>
          <w:highlight w:val="white"/>
        </w:rPr>
        <w:t>Направлення пацієнтів в інші заклади/підрозділи для надання послуг з медичної реабілітації у підгострому та відновному періодах або послуг з паліативної медичної допомоги.</w:t>
      </w: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w:t>
      </w:r>
      <w:r w:rsidR="00F7758C">
        <w:rPr>
          <w:rFonts w:ascii="Times New Roman" w:eastAsia="Times New Roman" w:hAnsi="Times New Roman" w:cs="Times New Roman"/>
          <w:sz w:val="24"/>
          <w:szCs w:val="24"/>
        </w:rPr>
        <w:t xml:space="preserve">країни від 28 березня 2018 року </w:t>
      </w:r>
      <w:r>
        <w:rPr>
          <w:rFonts w:ascii="Times New Roman" w:eastAsia="Times New Roman" w:hAnsi="Times New Roman" w:cs="Times New Roman"/>
          <w:sz w:val="24"/>
          <w:szCs w:val="24"/>
        </w:rPr>
        <w:t>№ 391.</w:t>
      </w:r>
    </w:p>
    <w:p w:rsidR="004D7F2C" w:rsidRDefault="004D7F2C">
      <w:pPr>
        <w:spacing w:line="256"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highlight w:val="white"/>
        </w:rPr>
      </w:pPr>
    </w:p>
    <w:p w:rsidR="004D7F2C" w:rsidRDefault="007E348C">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highlight w:val="white"/>
          <w:u w:val="single"/>
        </w:rPr>
        <w:t xml:space="preserve">Подати пропозицію </w:t>
      </w:r>
      <w:r>
        <w:rPr>
          <w:rFonts w:ascii="Times New Roman" w:eastAsia="Times New Roman" w:hAnsi="Times New Roman" w:cs="Times New Roman"/>
          <w:b/>
          <w:i/>
          <w:sz w:val="24"/>
          <w:szCs w:val="24"/>
          <w:highlight w:val="white"/>
          <w:u w:val="single"/>
        </w:rPr>
        <w:t xml:space="preserve">«Хірургічні операції дорослим та дітям у стаціонарних умовах», </w:t>
      </w:r>
      <w:r>
        <w:rPr>
          <w:rFonts w:ascii="Times New Roman" w:eastAsia="Times New Roman" w:hAnsi="Times New Roman" w:cs="Times New Roman"/>
          <w:i/>
          <w:sz w:val="24"/>
          <w:szCs w:val="24"/>
          <w:highlight w:val="white"/>
          <w:u w:val="single"/>
        </w:rPr>
        <w:t>перейшовши за цим посиланням</w:t>
      </w:r>
      <w:r>
        <w:rPr>
          <w:rFonts w:ascii="Times New Roman" w:eastAsia="Times New Roman" w:hAnsi="Times New Roman" w:cs="Times New Roman"/>
          <w:i/>
          <w:sz w:val="24"/>
          <w:szCs w:val="24"/>
          <w:u w:val="single"/>
        </w:rPr>
        <w:br/>
        <w:t xml:space="preserve"> </w:t>
      </w:r>
      <w:hyperlink r:id="rId5">
        <w:r>
          <w:rPr>
            <w:rFonts w:ascii="Times New Roman" w:eastAsia="Times New Roman" w:hAnsi="Times New Roman" w:cs="Times New Roman"/>
            <w:i/>
            <w:color w:val="1155CC"/>
            <w:sz w:val="24"/>
            <w:szCs w:val="24"/>
            <w:u w:val="single"/>
          </w:rPr>
          <w:t>https://smarttender.biz/</w:t>
        </w:r>
      </w:hyperlink>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lastRenderedPageBreak/>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rsidR="004D7F2C" w:rsidRDefault="007E348C">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rsidR="004D7F2C" w:rsidRDefault="007E348C">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у разі якщо у закладу відсутні статистичні дані за формою звітності № 20, затвердженою наказом МОЗ від 10.07.2007 № 378, за 2018 рік (новостворений заклад, або заклад, який протягом 2018 року не надавав таких послуг), необхідно додати лист від департаменту (управління) охорони здоров’я обласної державної адміністрації з інформацією щодо запланованої кількості медичних послуг  за відповідним пакетом медичних послуг на 2020 рік, розрахованої на підставі прогнозованого розподілу кількості медичних послуг між закладами охорони здоров’я на території області, (інформація подається для усіх надавачів медичних послуг, які не надавали послуги у 2018 році та новостворених закладів)</w:t>
      </w:r>
      <w:r>
        <w:rPr>
          <w:rFonts w:ascii="Times New Roman" w:eastAsia="Times New Roman" w:hAnsi="Times New Roman" w:cs="Times New Roman"/>
          <w:sz w:val="24"/>
          <w:szCs w:val="24"/>
          <w:highlight w:val="white"/>
        </w:rPr>
        <w:t>;</w:t>
      </w:r>
    </w:p>
    <w:p w:rsidR="004D7F2C" w:rsidRPr="00B42B34" w:rsidRDefault="007E348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B42B34">
        <w:rPr>
          <w:rFonts w:ascii="Times New Roman" w:eastAsia="Times New Roman" w:hAnsi="Times New Roman" w:cs="Times New Roman"/>
          <w:sz w:val="24"/>
          <w:szCs w:val="24"/>
          <w:highlight w:val="white"/>
        </w:rPr>
        <w:t xml:space="preserve"> суб'єкта господарювання (IBAN)</w:t>
      </w:r>
      <w:r w:rsidR="00B42B34">
        <w:rPr>
          <w:rFonts w:ascii="Times New Roman" w:eastAsia="Times New Roman" w:hAnsi="Times New Roman" w:cs="Times New Roman"/>
          <w:sz w:val="24"/>
          <w:szCs w:val="24"/>
          <w:highlight w:val="white"/>
          <w:lang w:val="uk-UA"/>
        </w:rPr>
        <w:t>;</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rsidR="004D7F2C" w:rsidRDefault="007E348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rsidR="004D7F2C" w:rsidRDefault="007E348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Лист від Департаменту (управління)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 (надається новоствореними суб’єктами господарювання, </w:t>
      </w:r>
      <w:r>
        <w:rPr>
          <w:rFonts w:ascii="Times New Roman" w:eastAsia="Times New Roman" w:hAnsi="Times New Roman" w:cs="Times New Roman"/>
          <w:sz w:val="24"/>
          <w:szCs w:val="24"/>
          <w:highlight w:val="white"/>
        </w:rPr>
        <w:t>суб’єктами господарювання, які було утворено в результаті злиття декількох закладів охорони здоров’я, суб’єктами господарювання до яких було приєднано один або декілька закладів охорони здоров</w:t>
      </w:r>
      <w:r>
        <w:rPr>
          <w:rFonts w:ascii="Times New Roman" w:eastAsia="Times New Roman" w:hAnsi="Times New Roman" w:cs="Times New Roman"/>
          <w:sz w:val="24"/>
          <w:szCs w:val="24"/>
        </w:rPr>
        <w:t>’я та суб’єктами господарювання, які функціонували, проте не надавали  послуги у 2018 році).</w:t>
      </w:r>
    </w:p>
    <w:p w:rsidR="004D7F2C" w:rsidRDefault="007E348C">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Додаток 3.</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rsidR="004D7F2C" w:rsidRDefault="007E348C">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rsidR="004D7F2C" w:rsidRDefault="007E348C">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rsidR="004D7F2C" w:rsidRDefault="004D7F2C">
      <w:pPr>
        <w:spacing w:after="200"/>
        <w:jc w:val="both"/>
        <w:rPr>
          <w:rFonts w:ascii="Times New Roman" w:eastAsia="Times New Roman" w:hAnsi="Times New Roman" w:cs="Times New Roman"/>
          <w:sz w:val="24"/>
          <w:szCs w:val="24"/>
          <w:highlight w:val="white"/>
        </w:rPr>
      </w:pPr>
    </w:p>
    <w:tbl>
      <w:tblPr>
        <w:tblStyle w:val="a5"/>
        <w:tblW w:w="8895" w:type="dxa"/>
        <w:tblInd w:w="0" w:type="dxa"/>
        <w:tblLayout w:type="fixed"/>
        <w:tblLook w:val="0600" w:firstRow="0" w:lastRow="0" w:firstColumn="0" w:lastColumn="0" w:noHBand="1" w:noVBand="1"/>
      </w:tblPr>
      <w:tblGrid>
        <w:gridCol w:w="8895"/>
      </w:tblGrid>
      <w:tr w:rsidR="004D7F2C">
        <w:trPr>
          <w:trHeight w:val="755"/>
        </w:trPr>
        <w:tc>
          <w:tcPr>
            <w:tcW w:w="8895" w:type="dxa"/>
            <w:tcMar>
              <w:top w:w="100" w:type="dxa"/>
              <w:left w:w="180" w:type="dxa"/>
              <w:bottom w:w="100" w:type="dxa"/>
              <w:right w:w="180" w:type="dxa"/>
            </w:tcMar>
          </w:tcPr>
          <w:p w:rsidR="004D7F2C" w:rsidRDefault="004D7F2C">
            <w:pPr>
              <w:widowControl w:val="0"/>
              <w:pBdr>
                <w:top w:val="nil"/>
                <w:left w:val="nil"/>
                <w:bottom w:val="nil"/>
                <w:right w:val="nil"/>
                <w:between w:val="nil"/>
              </w:pBdr>
              <w:rPr>
                <w:rFonts w:ascii="Times New Roman" w:eastAsia="Times New Roman" w:hAnsi="Times New Roman" w:cs="Times New Roman"/>
                <w:sz w:val="24"/>
                <w:szCs w:val="24"/>
                <w:highlight w:val="white"/>
              </w:rPr>
            </w:pPr>
          </w:p>
        </w:tc>
      </w:tr>
    </w:tbl>
    <w:p w:rsidR="004D7F2C" w:rsidRDefault="004D7F2C">
      <w:pPr>
        <w:spacing w:after="200" w:line="331" w:lineRule="auto"/>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Pr="007E348C" w:rsidRDefault="007E348C">
      <w:pPr>
        <w:spacing w:line="256" w:lineRule="auto"/>
        <w:jc w:val="center"/>
        <w:rPr>
          <w:rFonts w:ascii="Times New Roman" w:eastAsia="Times New Roman" w:hAnsi="Times New Roman" w:cs="Times New Roman"/>
          <w:b/>
          <w:i/>
          <w:sz w:val="24"/>
          <w:szCs w:val="24"/>
        </w:rPr>
      </w:pPr>
      <w:r w:rsidRPr="007E348C">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magenta"/>
        </w:rPr>
      </w:pPr>
    </w:p>
    <w:p w:rsidR="004D7F2C" w:rsidRDefault="004D7F2C">
      <w:pPr>
        <w:spacing w:line="256" w:lineRule="auto"/>
        <w:jc w:val="both"/>
        <w:rPr>
          <w:rFonts w:ascii="Times New Roman" w:eastAsia="Times New Roman" w:hAnsi="Times New Roman" w:cs="Times New Roman"/>
          <w:sz w:val="24"/>
          <w:szCs w:val="24"/>
        </w:rPr>
      </w:pPr>
    </w:p>
    <w:p w:rsidR="004D7F2C" w:rsidRDefault="004D7F2C">
      <w:pPr>
        <w:spacing w:after="160"/>
        <w:ind w:firstLine="460"/>
        <w:jc w:val="both"/>
        <w:rPr>
          <w:rFonts w:ascii="Times New Roman" w:eastAsia="Times New Roman" w:hAnsi="Times New Roman" w:cs="Times New Roman"/>
          <w:sz w:val="24"/>
          <w:szCs w:val="24"/>
        </w:rPr>
      </w:pPr>
    </w:p>
    <w:p w:rsidR="004D7F2C" w:rsidRDefault="007E348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rsidR="004D7F2C" w:rsidRDefault="007E348C" w:rsidP="00D64DD0">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7F2C" w:rsidRDefault="007E348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rsidR="004D7F2C" w:rsidRDefault="007E348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B42B34">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rsidR="004D7F2C" w:rsidRDefault="004D7F2C">
      <w:pPr>
        <w:spacing w:line="256" w:lineRule="auto"/>
        <w:ind w:firstLine="700"/>
        <w:jc w:val="both"/>
        <w:rPr>
          <w:rFonts w:ascii="Times New Roman" w:eastAsia="Times New Roman" w:hAnsi="Times New Roman" w:cs="Times New Roman"/>
          <w:sz w:val="24"/>
          <w:szCs w:val="24"/>
        </w:rPr>
      </w:pPr>
    </w:p>
    <w:p w:rsidR="004D7F2C" w:rsidRPr="009E4F14" w:rsidRDefault="007E348C" w:rsidP="009E4F14">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D7F2C" w:rsidRPr="009E4F14">
      <w:pgSz w:w="11909" w:h="16834"/>
      <w:pgMar w:top="1440"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2901"/>
    <w:multiLevelType w:val="multilevel"/>
    <w:tmpl w:val="83B66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192E27"/>
    <w:multiLevelType w:val="multilevel"/>
    <w:tmpl w:val="75D4A2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F01F06"/>
    <w:multiLevelType w:val="multilevel"/>
    <w:tmpl w:val="A17203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9F3A76"/>
    <w:multiLevelType w:val="multilevel"/>
    <w:tmpl w:val="22F68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F87D4F"/>
    <w:multiLevelType w:val="multilevel"/>
    <w:tmpl w:val="1092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06D69"/>
    <w:multiLevelType w:val="multilevel"/>
    <w:tmpl w:val="342AB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CA5320"/>
    <w:multiLevelType w:val="multilevel"/>
    <w:tmpl w:val="59186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14B0B6C"/>
    <w:multiLevelType w:val="multilevel"/>
    <w:tmpl w:val="A6C8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4692948"/>
    <w:multiLevelType w:val="multilevel"/>
    <w:tmpl w:val="BC547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4C374A7"/>
    <w:multiLevelType w:val="multilevel"/>
    <w:tmpl w:val="0BFC1C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FDD61A4"/>
    <w:multiLevelType w:val="multilevel"/>
    <w:tmpl w:val="5830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61F11E2"/>
    <w:multiLevelType w:val="multilevel"/>
    <w:tmpl w:val="5B9CF29A"/>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C151FEC"/>
    <w:multiLevelType w:val="hybridMultilevel"/>
    <w:tmpl w:val="3A1487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6752F45"/>
    <w:multiLevelType w:val="multilevel"/>
    <w:tmpl w:val="345AE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D347FD1"/>
    <w:multiLevelType w:val="multilevel"/>
    <w:tmpl w:val="97CC175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0"/>
  </w:num>
  <w:num w:numId="3">
    <w:abstractNumId w:val="2"/>
  </w:num>
  <w:num w:numId="4">
    <w:abstractNumId w:val="13"/>
  </w:num>
  <w:num w:numId="5">
    <w:abstractNumId w:val="3"/>
  </w:num>
  <w:num w:numId="6">
    <w:abstractNumId w:val="6"/>
  </w:num>
  <w:num w:numId="7">
    <w:abstractNumId w:val="4"/>
  </w:num>
  <w:num w:numId="8">
    <w:abstractNumId w:val="5"/>
  </w:num>
  <w:num w:numId="9">
    <w:abstractNumId w:val="9"/>
  </w:num>
  <w:num w:numId="10">
    <w:abstractNumId w:val="7"/>
  </w:num>
  <w:num w:numId="11">
    <w:abstractNumId w:val="14"/>
  </w:num>
  <w:num w:numId="12">
    <w:abstractNumId w:val="10"/>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2C"/>
    <w:rsid w:val="001106ED"/>
    <w:rsid w:val="001449A6"/>
    <w:rsid w:val="001A4D4C"/>
    <w:rsid w:val="002526D5"/>
    <w:rsid w:val="003B047C"/>
    <w:rsid w:val="00427A1C"/>
    <w:rsid w:val="00473DCB"/>
    <w:rsid w:val="004D7F2C"/>
    <w:rsid w:val="004E57D8"/>
    <w:rsid w:val="005D685F"/>
    <w:rsid w:val="00634F99"/>
    <w:rsid w:val="00735E27"/>
    <w:rsid w:val="007E348C"/>
    <w:rsid w:val="008A520F"/>
    <w:rsid w:val="008B4EF4"/>
    <w:rsid w:val="008D1AA2"/>
    <w:rsid w:val="009D14EB"/>
    <w:rsid w:val="009E4F14"/>
    <w:rsid w:val="00A61B2E"/>
    <w:rsid w:val="00A70785"/>
    <w:rsid w:val="00AB45AD"/>
    <w:rsid w:val="00B42B34"/>
    <w:rsid w:val="00C227CD"/>
    <w:rsid w:val="00D44A30"/>
    <w:rsid w:val="00D64DD0"/>
    <w:rsid w:val="00E42654"/>
    <w:rsid w:val="00E91924"/>
    <w:rsid w:val="00F31AE4"/>
    <w:rsid w:val="00F77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3FBB4-C354-46C0-80E8-43BD7F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E348C"/>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348C"/>
    <w:rPr>
      <w:rFonts w:ascii="Segoe UI" w:hAnsi="Segoe UI" w:cs="Segoe UI"/>
      <w:sz w:val="18"/>
      <w:szCs w:val="18"/>
    </w:rPr>
  </w:style>
  <w:style w:type="paragraph" w:styleId="ab">
    <w:name w:val="List Paragraph"/>
    <w:basedOn w:val="a"/>
    <w:uiPriority w:val="34"/>
    <w:qFormat/>
    <w:rsid w:val="0073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2572</Words>
  <Characters>14664</Characters>
  <Application>Microsoft Office Word</Application>
  <DocSecurity>0</DocSecurity>
  <Lines>122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8</cp:revision>
  <dcterms:created xsi:type="dcterms:W3CDTF">2020-07-01T12:47:00Z</dcterms:created>
  <dcterms:modified xsi:type="dcterms:W3CDTF">2020-08-14T11:21:00Z</dcterms:modified>
</cp:coreProperties>
</file>