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ind w:firstLine="6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до повідомлення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ФОРМА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звернення суб’єкта господарювання щодо можливості надання медичних послуг за напрямом «Вакцинація від гострої респіраторної хвороби COVID-19, спричиненої коронавірусом SARS-CoV-2»</w:t>
      </w:r>
    </w:p>
    <w:p>
      <w:pPr>
        <w:jc w:val="center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sz w:val="24"/>
        </w:rPr>
        <w:t>З метою проведення аналізу наявного медичного обладнання, персоналу, ліцензій, дозвільних документів, необхідних для надання медичних послуг, а також підрядників, які будуть залучені до надання медичних послуг, надсилаємо наступну інформацію:</w:t>
      </w:r>
    </w:p>
    <w:p>
      <w:pPr>
        <w:jc w:val="center"/>
      </w:pPr>
    </w:p>
    <w:tbl>
      <w:tblPr>
        <w:tblW w:w="9776" w:type="dxa"/>
        <w:tblInd w:w="-5" w:type="dxa"/>
        <w:tblLayout w:type="fixed"/>
        <w:tblLook w:val="04A0"/>
      </w:tblPr>
      <w:tblGrid/>
      <w:tr>
        <w:trPr>
          <w:trHeight w:hRule="atLeast" w:val="542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spacing w:before="120" w:beforeAutospacing="0" w:afterAutospacing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</w:rPr>
              <w:t xml:space="preserve">Назва поля для </w:t>
            </w:r>
            <w:r>
              <w:rPr>
                <w:rFonts w:ascii="Times New Roman" w:hAnsi="Times New Roman"/>
                <w:b w:val="1"/>
                <w:sz w:val="24"/>
                <w:szCs w:val="24"/>
              </w:rPr>
              <w:t>заповнення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ind w:left="360"/>
              <w:jc w:val="both"/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</w:rPr>
              <w:t>Інформація, зазначена суб</w:t>
            </w:r>
            <w:r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  <w:lang w:val="ru-RU"/>
              </w:rPr>
              <w:t>єктом господарювання</w:t>
            </w:r>
          </w:p>
        </w:tc>
      </w:tr>
      <w:tr>
        <w:trPr>
          <w:trHeight w:hRule="atLeast" w:val="412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394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Повна назва закладу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06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Організаційно правова форма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262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Керівник закладу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00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Підстава, відповідно до якої діє підписант договору</w:t>
            </w:r>
            <w:r>
              <w:rPr>
                <w:rFonts w:ascii="Times New Roman" w:hAnsi="Times New Roman"/>
                <w:sz w:val="24"/>
                <w:szCs w:val="24"/>
              </w:rPr>
              <w:t>, ФОП вказує № та дату виписки з ЄДР (вводиться за шаблоном: №__ від____)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>
        <w:trPr>
          <w:trHeight w:hRule="atLeast" w:val="442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Ліцензія на медичну практику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20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IBAN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20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Строк дії договору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12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ind w:left="360"/>
              <w:jc w:val="both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Перелік залучених осіб</w:t>
            </w:r>
          </w:p>
        </w:tc>
      </w:tr>
      <w:tr>
        <w:trPr>
          <w:trHeight w:hRule="atLeast" w:val="526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 xml:space="preserve">Коди ЄДРПОУ підрядників. 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538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spacing w:before="120" w:after="120" w:beforeAutospacing="0" w:afterAutospacing="0"/>
              <w:ind w:left="360"/>
              <w:jc w:val="both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Вимоги до організації надання послуги </w:t>
            </w: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суворого дотримання холодового ланцюга при транспортуванні і зберіганні вакцин від гострої респіраторної хвороби COVID-19, спричиненої коронавірусом SARS-CoV-2, відповідно до інструкцій виробників вакцин та галузевих стандартів у сфері охорони здоров’я.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ind w:left="36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Організація та проведення вакцинації від гострої респіраторної хвороби COVID-19, спричиненої коронавірусом SARS-CoV-2, в постійних та/або в тимчасових пунктах щеплень, в тому числі у центрах масової вакцинації, із розділенням потоків пацієнтів і забезпеченням дотримання правил епідеміологічної безпеки.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Оснащення місця проведення вакцинації від гострої респіраторної хвороби COVID-19, спричиненої коронавірусом SARS-CoV-2, відповідно до галузевих стандартів у сфері охорони здоров’я щодо організації і проведення профілактичних щеплень.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Наявність облаштованого місця для гігієнічної обробки рук з водою і милом та дозатора з антисептиком для обробки шкіри рук.  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Наявність приміщення (виділеної зони)  для забезпечення медичного спостереження за пацієнтом/пацієнткою після проведення профілактичного щеплення протягом 30 хвилин після вакцинації, якщо в інструкції про застосування вакцини не вказано іншого терміну перебування  під наглядом медичного працівника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затвердженої програми з інфекційного контролю та дотримання заходів із запобігання інфекціям, пов’язаним з наданням медичної допомоги, відповідно до чинних наказів МОЗ.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69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працівників, залучених до вакцинації від гострої респіраторної хвороби COVID-19, спричиненої коронавірусом SARS-CoV-2, засобами індивідуального захисту відповідно до чинних нормативів, затверджених МОЗ.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набору з лікарськими засобами і медичними виробами, необхідними для надання невідкладної медичної допомоги відповідно до галузевих стандартів у сфері охорони здоров’я при виникненні у пацієнтів невідкладних станів.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Внесення та передача інформації про вакцинацію до електронної системи охорони здоров’я відповідно до такого обсягу даних із заповненням усіх полів: код, виробник, серія, термін придатності вакцини, кількість введеної вакцини з одиницями вимірювання, порядковий номер дози, опис протоколу, автор протоколу, етап вакцинації, кількість доз по протоколу, протидія загрозам, приналежність особи до однієї із цільових груп.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47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Передача інформації про побічні реакції після застосування вакцин до ДП «Державний експертний центр Міністерства охорони здоров’я України» та відповідного структурного підрозділу з питань охорони здоров’я відповідно до галузевих стандартів у сфері охорони здоров’я.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Дотримання вимог законодавства щодо поводження з медичними відходами.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91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утилізації вакцин, які неправильно зберігались, згідно з вимогами чинних наказів МОЗ з обов’язковим внесенням відповідних медичних записів.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Здійснення закупівлі, в тому числі засобів індивідуального захисту, для організації вакцинації від гострої респіраторної хвороби COVID-19, спричиненої коронавірусом SARS-CoV-2, через електронну систему публічних закупівель відповідно до законодавства про публічні закупівлі (дія цього пункту поширюється на замовників в рамках Закону України «Про публічні закупівлі»).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Дотримання політики Світового Банку щодо запобігання та боротьби з шахрайством та корупцією, як визначено в «Керівництві щодо запобігання та боротьби з шахрайством і корупцією у проєктах, що фінансуються за рахунок позик Міжнародного Банку Реконструкції і Розвитку та кредитів і грантів Міжнародної Агенції Розвитку» (в редакції від 1 липня 2016 року).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оцінки стану здоров’я пацієнта/пацієнтки, в тому числі виявлення ознак насильства та дотримання вимог законодавства у сфері протидії насильству.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свобод, Конвенції про права осіб з інвалідністю, Конвенції про права дитини та інших міжнародних договорів ратифікованих Україною.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Вкажіть кількість тимчасових пунктів щеплення, що організовані в закладі.  У разі відсутності тимчасового пункту поставте 0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Вкажіть кількість центрів масової вакцинації, що організовані в закладі.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mallCaps w:val="0"/>
                <w:color w:val="000000"/>
                <w:sz w:val="24"/>
                <w:szCs w:val="22"/>
                <w:shd w:val="clear" w:color="auto" w:fill="FFFFFF"/>
                <w:cs w:val="0"/>
                <w:spacing w:val="0"/>
                <w:w w:val="100"/>
                <w:position w:val="0"/>
                <w:snapToGrid w:val="1"/>
                <w:lang w:eastAsia="uk-UA"/>
              </w:rPr>
              <w:t xml:space="preserve">У разі відсутності пункту щеплення в  центрі масової вакцинації поставте 0.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0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spacing w:lineRule="auto" w:line="240" w:before="120" w:after="0" w:beforeAutospacing="0" w:afterAutospacing="0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  <w:t>Вимоги до переліку обладнання: при проведенні вакцинації У ТИМЧАСОВОМУ ПУНКТІ ЩЕПЛЕННЯ</w:t>
            </w: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сумка-холодильник (термоконтейнер) з термометрами та відповідною кількістю холодових елементів залежно від обсягу вакцин (один для зберігання основного запасу вакцин, інший на робочому столі для зберігання відкритого флакона) – щонайменше 2;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столик, що за розмірами здатний вмістити одну невелику сумку-холодильник (термоконтейнер), ін’єкційні матеріали і контейнер для безпечної утилізації шприців;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контейнер для безпечної утилізації шприців;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термометр для вимірювання температури у приміщенні;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термометр безконтактний;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глюкометр;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тонометр;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мішок ручної вентиляції легенів;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83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аптечка для надання невідкладної допомоги.</w:t>
            </w:r>
          </w:p>
        </w:tc>
      </w:tr>
      <w:tr>
        <w:trPr>
          <w:trHeight w:hRule="atLeast" w:val="864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before="120" w:after="120" w:beforeAutospacing="0" w:afterAutospacing="0"/>
              <w:ind w:left="176"/>
              <w:jc w:val="both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Вимоги до переліку обладнання: при проведенні вакцинації У ЦЕНТРАХ МАСОВОЇ ВАКЦИНАЦІЇ</w:t>
            </w: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сумка-холодильник (термоконтейнер) з термометрами та відповідною кількістю холодових елементів залежно від обсягу вакцин (один для зберігання основного запасу вакцин, інший на робочому столі для зберігання відкритого флакона) – щонайменше 2;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столик, що за розмірами здатний вмістити одну невелику сумку-холодильник (термоконтейнер), ін’єкційні матеріали і контейнер для безпечної утилізації шприців;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контейнер для безпечної утилізації шприців;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термометр для вимірювання температури у приміщенні;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безконтактний термометр;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глюкометр;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тонометр;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мішок ручної вентиляції легенів;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аптечка для надання невідкладної допомоги.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88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Інформація щодо </w:t>
            </w:r>
            <w:r>
              <w:rPr>
                <w:rFonts w:ascii="Times New Roman" w:hAnsi="Times New Roman"/>
                <w:b w:val="1"/>
                <w:sz w:val="24"/>
                <w:szCs w:val="24"/>
              </w:rPr>
              <w:t>запланованої середньомісячної кількості медичних послуг</w:t>
            </w: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Вкажіть заплановану середньомісячну кількість медичних послуг із щеплення першою дозою від гострої респіраторної хвороби COVID-19, спричиненої коронавірусом SARS-CoV-2, яку заклад планує надати у 2022 році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Вкажіть заплановану середньомісячну кількість медичних послуг із щеплення другою дозою від гострої респіраторної хвороби COVID-19, спричиненої коронавірусом SARS-CoV-2, яку заклад планує надати у 2022 році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484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spacing w:before="120" w:after="120" w:beforeAutospacing="0" w:afterAutospacing="0"/>
              <w:jc w:val="both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Загальна інформація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ind w:left="360"/>
              <w:jc w:val="both"/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>Підтвердження,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>Підтвердження, що заклад, уповноважені особи та медичні працівники, які будуть залучені до виконання Договору, зареєстровані в електронній системі охорони здоров’я (далі - Система).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>Підтвердження,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власника. Якщо таке право обмежене, у тому числі щодо укладання договорів, ціна встановлену суму, Заявник повідомить про це Національну службу здоров'я України (далі - НСЗУ) та отримає необхідні погодження від власника до моменту підписання договору зі сторони заявника.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>Підтвердження, що ознайомились з умовами закупівлі та специфікацією, визначеними в Повідомленні, і погоджуєтесь на них.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>Підтвердження, що інформація, зазначена у цьому Зверненні та доданих до нього документах, а також інформація, внесена до Системи, є повною та достовірною.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 xml:space="preserve">Підтвердження, що у разі зміни інформації, зазначеної у цьому зверненні та (або) доданих до нього документах, Заявник зобов’язаний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</w:t>
            </w:r>
            <w:r>
              <w:rPr>
                <w:rFonts w:ascii="Times New Roman" w:hAnsi="Times New Roman"/>
                <w:bCs w:val="1"/>
                <w:sz w:val="24"/>
                <w:szCs w:val="24"/>
                <w:lang w:val="en-US"/>
              </w:rPr>
              <w:t>dohovir</w:t>
            </w:r>
            <w:r>
              <w:rPr>
                <w:rFonts w:ascii="Times New Roman" w:hAnsi="Times New Roman"/>
                <w:bCs w:val="1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 w:val="1"/>
                <w:sz w:val="24"/>
                <w:szCs w:val="24"/>
                <w:lang w:val="en-US"/>
              </w:rPr>
              <w:t>nszy</w:t>
            </w:r>
            <w:r>
              <w:rPr>
                <w:rFonts w:ascii="Times New Roman" w:hAnsi="Times New Roman"/>
                <w:bCs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 w:val="1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/>
                <w:bCs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 w:val="1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bCs w:val="1"/>
                <w:sz w:val="24"/>
                <w:szCs w:val="24"/>
              </w:rPr>
              <w:t xml:space="preserve"> з одночасним внесенням таких змін у Систему.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>Підтвердження усвідомлення, що законодавством України передбачена відповідальність за подання недостовірної інформації органам державної влади.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359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spacing w:before="120" w:beforeAutospacing="0" w:afterAutospacing="0"/>
              <w:jc w:val="both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ІНФОРМАЦІЯ</w:t>
            </w:r>
            <w:r>
              <w:rPr>
                <w:rFonts w:ascii="Times New Roman" w:hAnsi="Times New Roman"/>
                <w:bCs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ПРО МІСЦЯ НАДАННЯ ПОСЛУГ (застосовуються для кожного МНП окремо</w:t>
            </w:r>
            <w:r>
              <w:rPr>
                <w:rFonts w:ascii="Times New Roman" w:hAnsi="Times New Roman"/>
                <w:b w:val="1"/>
                <w:sz w:val="24"/>
                <w:szCs w:val="24"/>
              </w:rPr>
              <w:t>)</w:t>
            </w:r>
          </w:p>
        </w:tc>
      </w:tr>
      <w:tr>
        <w:trPr>
          <w:trHeight w:hRule="atLeast" w:val="466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Cs w:val="1"/>
                <w:sz w:val="24"/>
                <w:szCs w:val="24"/>
              </w:rPr>
              <w:t>Місце надання послуг: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bCs w:val="1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402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spacing w:before="120" w:after="120" w:beforeAutospacing="0" w:afterAutospacing="0"/>
              <w:jc w:val="both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Вимоги до складу мобільної команди з вакцинації</w:t>
            </w: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Лікар – щонайменше одна особа, яка пройшла спеціальну підготовку та володіє правилами організації і технікою проведення щеплень, а також навичками надання невідкладної допомоги в разі розвитку післявакцинальних реакцій/ускладнень та систематично проходить інструктаж з правил проведення вакцинації. 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Сестра медична – щонайменше 2 особи, які пройшли спеціальну підготовку та володіють правилами організації і технікою проведення щеплень, а також навичками надання невідкладної допомоги в разі розвитку післявакцинальних реакцій/ускладнень та систематично проходить інструктаж з правил проведення вакцинації.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Вкажіть кількість постійних пунктів щеплення, що організовані за обраним місцем надання послуг.  У разі відсутності постійного пункту поставте 0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  <w:t xml:space="preserve">Вимоги до переліку обладнання: при проведенні вакцинації </w:t>
            </w:r>
          </w:p>
          <w:p>
            <w:pPr>
              <w:pStyle w:val="P3"/>
              <w:spacing w:lineRule="auto" w:line="240" w:before="12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  <w:lang w:eastAsia="uk-UA"/>
              </w:rPr>
              <w:t>У ПОСТІЙНОМУ ПУНКТІ ЩЕПЛЕННЯ</w:t>
            </w: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холодильник для зберігання вакцин;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термометр в холодильнику на другій полиці (місце, що найбільш чутливе до холоду);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термометр для валідації показань термометра в холодильнику;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сумка-холодильник (термоконтейнер) з двома комплектами холодових елементів (4 елементи в кожному комплекті) та термометр;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столик, що за розмірами здатний вмістити одну невелику сумку-холодильник (термоконтейнер), ін’єкційні матеріали і контейнер для безпечної утилізації шприців;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контейнер для безпечної утилізації шприців;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термометр для вимірювання температури у приміщенні;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термометр безконтактний;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глюкометр;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тонометр;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мішок ручної вентиляції легенів;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555"/>
        </w:trPr>
        <w:tc>
          <w:tcPr>
            <w:tcW w:w="62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numPr>
                <w:ilvl w:val="0"/>
                <w:numId w:val="1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аптечка для надання невідкладної допомоги.</w:t>
            </w:r>
          </w:p>
        </w:tc>
        <w:tc>
          <w:tcPr>
            <w:tcW w:w="353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before="12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>
        <w:trPr>
          <w:trHeight w:hRule="atLeast" w:val="828"/>
        </w:trPr>
        <w:tc>
          <w:tcPr>
            <w:tcW w:w="977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3"/>
              <w:spacing w:lineRule="auto" w:line="240" w:after="0" w:beforeAutospacing="0" w:afterAutospacing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Разом із звернення також необхідно подати додатки до нього, які слід прикріпити у вигляді сканованих документів у форматі PDF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або відомості (посилання) щодо наявності такої інформації в державному реєстрі, базі даних або інших інформаційних ресурсах (загальний розмір файлів не повинен перевищувати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49Мб)</w:t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Подаючи це звернення підтверджую достовірність наданої інформації, відповідність умовам закупівлі, та можливість надавати медичні послуги згідно із специфікацією.</w:t>
      </w:r>
    </w:p>
    <w:tbl>
      <w:tblPr>
        <w:tblW w:w="9781" w:type="dxa"/>
        <w:tblLook w:val="04A0"/>
      </w:tblPr>
      <w:tblGrid/>
      <w:tr>
        <w:trPr>
          <w:trHeight w:hRule="atLeast" w:val="27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_______________________________________________________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417" w:right="850" w:top="850" w:bottom="850" w:header="708" w:footer="708" w:gutter="0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  <w:lang w:val="ru-RU"/>
      </w:rPr>
      <w:t>#</w:t>
    </w:r>
    <w:r>
      <w:fldChar w:fldCharType="end"/>
    </w:r>
  </w:p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11AF220A"/>
    <w:multiLevelType w:val="hybridMultilevel"/>
    <w:lvl w:ilvl="0" w:tplc="8668C4F8">
      <w:start w:val="1"/>
      <w:numFmt w:val="decimal"/>
      <w:suff w:val="space"/>
      <w:lvlText w:val="%1."/>
      <w:lvlJc w:val="left"/>
      <w:pPr>
        <w:ind w:hanging="360" w:left="720"/>
      </w:pPr>
      <w:rPr>
        <w:b w:val="0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1FB0ECD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644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27F221AD"/>
    <w:multiLevelType w:val="hybridMultilevel"/>
    <w:lvl w:ilvl="0" w:tplc="22D2286C">
      <w:start w:val="1"/>
      <w:numFmt w:val="decimal"/>
      <w:suff w:val="space"/>
      <w:lvlText w:val="%1."/>
      <w:lvlJc w:val="left"/>
      <w:pPr>
        <w:ind w:hanging="360" w:left="107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79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51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23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95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67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39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11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830"/>
      </w:pPr>
      <w:rPr/>
    </w:lvl>
  </w:abstractNum>
  <w:abstractNum w:abstractNumId="3">
    <w:nsid w:val="36F76EB4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3A9D537D"/>
    <w:multiLevelType w:val="hybridMultilevel"/>
    <w:lvl w:ilvl="0" w:tplc="8668C4F8">
      <w:start w:val="1"/>
      <w:numFmt w:val="decimal"/>
      <w:suff w:val="space"/>
      <w:lvlText w:val="%1."/>
      <w:lvlJc w:val="left"/>
      <w:pPr>
        <w:ind w:hanging="360" w:left="720"/>
      </w:pPr>
      <w:rPr>
        <w:b w:val="0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44093D00"/>
    <w:multiLevelType w:val="hybridMultilevel"/>
    <w:lvl w:ilvl="0" w:tplc="FB64E494">
      <w:start w:val="1"/>
      <w:numFmt w:val="decimal"/>
      <w:suff w:val="space"/>
      <w:lvlText w:val="%1."/>
      <w:lvlJc w:val="left"/>
      <w:pPr>
        <w:ind w:hanging="360" w:left="72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464878A7"/>
    <w:multiLevelType w:val="hybridMultilevel"/>
    <w:lvl w:ilvl="0" w:tplc="8668C4F8">
      <w:start w:val="1"/>
      <w:numFmt w:val="decimal"/>
      <w:suff w:val="space"/>
      <w:lvlText w:val="%1."/>
      <w:lvlJc w:val="left"/>
      <w:pPr>
        <w:ind w:hanging="360" w:left="720"/>
      </w:pPr>
      <w:rPr>
        <w:b w:val="0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487D3046"/>
    <w:multiLevelType w:val="hybridMultilevel"/>
    <w:lvl w:ilvl="0" w:tplc="6F0CB508">
      <w:start w:val="1"/>
      <w:numFmt w:val="decimal"/>
      <w:suff w:val="space"/>
      <w:lvlText w:val="%1."/>
      <w:lvlJc w:val="left"/>
      <w:pPr>
        <w:ind w:hanging="360" w:left="72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4A933D79"/>
    <w:multiLevelType w:val="hybridMultilevel"/>
    <w:lvl w:ilvl="0" w:tplc="C53C3016">
      <w:start w:val="1"/>
      <w:numFmt w:val="decimal"/>
      <w:suff w:val="space"/>
      <w:lvlText w:val="%1."/>
      <w:lvlJc w:val="left"/>
      <w:pPr>
        <w:ind w:hanging="360" w:left="720"/>
      </w:pPr>
      <w:rPr>
        <w:b w:val="0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4B541A41"/>
    <w:multiLevelType w:val="hybridMultilevel"/>
    <w:lvl w:ilvl="0" w:tplc="8668C4F8">
      <w:start w:val="1"/>
      <w:numFmt w:val="decimal"/>
      <w:suff w:val="space"/>
      <w:lvlText w:val="%1."/>
      <w:lvlJc w:val="left"/>
      <w:pPr>
        <w:ind w:hanging="360" w:left="720"/>
      </w:pPr>
      <w:rPr>
        <w:b w:val="0"/>
      </w:rPr>
    </w:lvl>
    <w:lvl w:ilvl="1" w:tplc="45DC9368">
      <w:start w:val="1"/>
      <w:numFmt w:val="lowerLetter"/>
      <w:suff w:val="space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53C86A16"/>
    <w:multiLevelType w:val="hybridMultilevel"/>
    <w:lvl w:ilvl="0" w:tplc="8668C4F8">
      <w:start w:val="1"/>
      <w:numFmt w:val="decimal"/>
      <w:suff w:val="space"/>
      <w:lvlText w:val="%1."/>
      <w:lvlJc w:val="left"/>
      <w:pPr>
        <w:ind w:hanging="360" w:left="720"/>
      </w:pPr>
      <w:rPr>
        <w:b w:val="0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56B22F73"/>
    <w:multiLevelType w:val="hybridMultilevel"/>
    <w:lvl w:ilvl="0" w:tplc="7DF8FA72">
      <w:start w:val="1"/>
      <w:numFmt w:val="decimal"/>
      <w:suff w:val="space"/>
      <w:lvlText w:val="%1."/>
      <w:lvlJc w:val="left"/>
      <w:pPr>
        <w:ind w:hanging="360" w:left="72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4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5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paragraph" w:styleId="P4">
    <w:name w:val="footnote text"/>
    <w:link w:val="C7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5">
    <w:name w:val="endnote text"/>
    <w:link w:val="C9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Верхний колонтитул Знак"/>
    <w:basedOn w:val="C0"/>
    <w:link w:val="P1"/>
    <w:rPr/>
  </w:style>
  <w:style w:type="character" w:styleId="C5">
    <w:name w:val="Нижний колонтитул Знак"/>
    <w:basedOn w:val="C0"/>
    <w:link w:val="P2"/>
    <w:rPr/>
  </w:style>
  <w:style w:type="character" w:styleId="C6">
    <w:name w:val="footnote reference"/>
    <w:semiHidden/>
    <w:rPr>
      <w:vertAlign w:val="superscript"/>
    </w:rPr>
  </w:style>
  <w:style w:type="character" w:styleId="C7">
    <w:name w:val="Текст сноски Знак"/>
    <w:link w:val="P4"/>
    <w:semiHidden/>
    <w:rPr>
      <w:sz w:val="20"/>
      <w:szCs w:val="20"/>
    </w:rPr>
  </w:style>
  <w:style w:type="character" w:styleId="C8">
    <w:name w:val="endnote reference"/>
    <w:semiHidden/>
    <w:rPr>
      <w:vertAlign w:val="superscript"/>
    </w:rPr>
  </w:style>
  <w:style w:type="character" w:styleId="C9">
    <w:name w:val="Текст концевой сноски Знак"/>
    <w:link w:val="P5"/>
    <w:semiHidden/>
    <w:rPr>
      <w:sz w:val="20"/>
      <w:szCs w:val="20"/>
    </w:rPr>
  </w:style>
  <w:style w:type="character" w:styleId="C10">
    <w:name w:val="Footnote Text Char"/>
    <w:semiHidden/>
    <w:rPr>
      <w:sz w:val="20"/>
      <w:szCs w:val="20"/>
    </w:rPr>
  </w:style>
  <w:style w:type="character" w:styleId="C11">
    <w:name w:val="Endnote Text Char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ba833-036b-4873-8790-5df048e94bd3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Слободянюк Ірина Богданівна</dc:creator>
  <dcterms:created xsi:type="dcterms:W3CDTF">2021-12-03T02:53:00Z</dcterms:created>
  <cp:lastModifiedBy>pool-iis</cp:lastModifiedBy>
  <dcterms:modified xsi:type="dcterms:W3CDTF">2021-12-03T06:49:38Z</dcterms:modified>
  <cp:revision>4</cp:revision>
</cp:coreProperties>
</file>