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
        <w:ind w:firstLine="6663"/>
        <w:jc w:val="both"/>
        <w:rPr>
          <w:rFonts w:ascii="Times New Roman" w:hAnsi="Times New Roman"/>
          <w:sz w:val="24"/>
          <w:szCs w:val="24"/>
        </w:rPr>
      </w:pPr>
      <w:r>
        <w:rPr>
          <w:rFonts w:ascii="Times New Roman" w:hAnsi="Times New Roman"/>
          <w:sz w:val="24"/>
          <w:szCs w:val="24"/>
        </w:rPr>
        <w:t>Додаток до повідомлення</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ФОРМА</w:t>
      </w:r>
    </w:p>
    <w:p>
      <w:pPr>
        <w:jc w:val="center"/>
        <w:rPr>
          <w:rFonts w:ascii="Times New Roman" w:hAnsi="Times New Roman"/>
          <w:b w:val="1"/>
          <w:sz w:val="24"/>
        </w:rPr>
      </w:pPr>
      <w:r>
        <w:rPr>
          <w:rFonts w:ascii="Times New Roman" w:hAnsi="Times New Roman"/>
          <w:b w:val="1"/>
          <w:sz w:val="24"/>
        </w:rPr>
        <w:t>звернення суб’єкта господарювання щодо можливості надання медичних послуг за напрямом «Стаціонарна допомога дорослим та дітям без проведення хірургічних операцій»</w:t>
      </w:r>
    </w:p>
    <w:p>
      <w:pPr>
        <w:jc w:val="center"/>
        <w:rPr>
          <w:rFonts w:ascii="Times New Roman" w:hAnsi="Times New Roman"/>
          <w:i w:val="1"/>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pPr>
        <w:jc w:val="center"/>
      </w:pPr>
    </w:p>
    <w:tbl>
      <w:tblPr>
        <w:tblW w:w="9498" w:type="dxa"/>
        <w:tblInd w:w="-5" w:type="dxa"/>
        <w:tblLayout w:type="fixed"/>
        <w:tblLook w:val="04A0"/>
      </w:tblPr>
      <w:tblGrid/>
      <w:tr>
        <w:trPr>
          <w:trHeight w:hRule="atLeast" w:val="54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beforeAutospacing="0" w:afterAutospacing="0"/>
              <w:ind w:firstLine="34" w:left="0"/>
              <w:jc w:val="center"/>
              <w:rPr>
                <w:rFonts w:ascii="Times New Roman" w:hAnsi="Times New Roman"/>
                <w:b w:val="1"/>
                <w:bCs w:val="1"/>
                <w:color w:val="000000"/>
                <w:sz w:val="24"/>
                <w:szCs w:val="24"/>
              </w:rPr>
            </w:pPr>
          </w:p>
          <w:p>
            <w:pPr>
              <w:pStyle w:val="P3"/>
              <w:spacing w:before="120" w:beforeAutospacing="0" w:afterAutospacing="0"/>
              <w:ind w:firstLine="34" w:left="0"/>
              <w:jc w:val="center"/>
              <w:rPr>
                <w:rFonts w:ascii="Times New Roman" w:hAnsi="Times New Roman"/>
                <w:b w:val="1"/>
                <w:bCs w:val="1"/>
                <w:color w:val="000000"/>
                <w:sz w:val="24"/>
                <w:szCs w:val="24"/>
              </w:rPr>
            </w:pPr>
            <w:r>
              <w:rPr>
                <w:rFonts w:ascii="Times New Roman" w:hAnsi="Times New Roman"/>
                <w:b w:val="1"/>
                <w:bCs w:val="1"/>
                <w:color w:val="000000"/>
                <w:sz w:val="24"/>
                <w:szCs w:val="24"/>
              </w:rPr>
              <w:t xml:space="preserve">Назва поля для </w:t>
            </w:r>
            <w:r>
              <w:rPr>
                <w:rFonts w:ascii="Times New Roman" w:hAnsi="Times New Roman"/>
                <w:b w:val="1"/>
                <w:sz w:val="24"/>
                <w:szCs w:val="24"/>
              </w:rPr>
              <w:t>заповнення</w:t>
            </w:r>
          </w:p>
        </w:tc>
        <w:tc>
          <w:tcPr>
            <w:tcW w:w="2835" w:type="dxa"/>
            <w:tcBorders>
              <w:top w:val="single" w:sz="4" w:space="0" w:shadow="0" w:frame="0"/>
              <w:left w:val="single" w:sz="4" w:space="0" w:shadow="0" w:frame="0"/>
              <w:bottom w:val="single" w:sz="4" w:space="0" w:shadow="0" w:frame="0"/>
              <w:right w:val="single" w:sz="4" w:space="0" w:shadow="0" w:frame="0"/>
            </w:tcBorders>
          </w:tcPr>
          <w:p>
            <w:pPr>
              <w:ind w:left="360"/>
              <w:jc w:val="both"/>
              <w:rPr>
                <w:rFonts w:ascii="Times New Roman" w:hAnsi="Times New Roman"/>
                <w:b w:val="1"/>
                <w:bCs w:val="1"/>
                <w:color w:val="000000"/>
                <w:sz w:val="24"/>
                <w:szCs w:val="24"/>
                <w:lang w:val="ru-RU"/>
              </w:rPr>
            </w:pPr>
            <w:r>
              <w:rPr>
                <w:rFonts w:ascii="Times New Roman" w:hAnsi="Times New Roman"/>
                <w:b w:val="1"/>
                <w:bCs w:val="1"/>
                <w:color w:val="000000"/>
                <w:sz w:val="24"/>
                <w:szCs w:val="24"/>
              </w:rPr>
              <w:t>Інформація, зазначена суб</w:t>
            </w:r>
            <w:r>
              <w:rPr>
                <w:rFonts w:ascii="Times New Roman" w:hAnsi="Times New Roman"/>
                <w:b w:val="1"/>
                <w:bCs w:val="1"/>
                <w:color w:val="000000"/>
                <w:sz w:val="24"/>
                <w:szCs w:val="24"/>
                <w:lang w:val="en-US"/>
              </w:rPr>
              <w:t>’</w:t>
            </w:r>
            <w:r>
              <w:rPr>
                <w:rFonts w:ascii="Times New Roman" w:hAnsi="Times New Roman"/>
                <w:b w:val="1"/>
                <w:bCs w:val="1"/>
                <w:color w:val="000000"/>
                <w:sz w:val="24"/>
                <w:szCs w:val="24"/>
                <w:lang w:val="ru-RU"/>
              </w:rPr>
              <w:t>єктом господарювання</w:t>
            </w:r>
          </w:p>
        </w:tc>
      </w:tr>
      <w:tr>
        <w:trPr>
          <w:trHeight w:hRule="atLeast" w:val="41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КОД ЄДРПОУ</w:t>
            </w:r>
          </w:p>
        </w:tc>
        <w:tc>
          <w:tcPr>
            <w:tcW w:w="2835"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color w:val="000000"/>
                <w:sz w:val="24"/>
                <w:szCs w:val="24"/>
                <w:lang w:eastAsia="uk-UA"/>
              </w:rPr>
            </w:pPr>
          </w:p>
        </w:tc>
      </w:tr>
      <w:tr>
        <w:trPr>
          <w:trHeight w:hRule="atLeast" w:val="39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Повна назва закладу</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0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Організаційно правова форма</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26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Керівник закладу</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00"/>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highlight w:val="white"/>
              </w:rPr>
              <w:t>Підстава, відповідно до якої діє підписант договору</w:t>
            </w:r>
            <w:r>
              <w:rPr>
                <w:rFonts w:ascii="Times New Roman" w:hAnsi="Times New Roman"/>
                <w:sz w:val="24"/>
                <w:szCs w:val="24"/>
              </w:rPr>
              <w:t>, ФОП вказує № та дату виписки з ЄДР (вводиться за шаблоном: №__ від____)</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highlight w:val="white"/>
              </w:rPr>
            </w:pPr>
          </w:p>
        </w:tc>
      </w:tr>
      <w:tr>
        <w:trPr>
          <w:trHeight w:hRule="atLeast" w:val="44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Ліцензія на медичну практику</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53"/>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Ліцензія </w:t>
            </w:r>
            <w:r>
              <w:rPr>
                <w:rFonts w:ascii="Times New Roman" w:hAnsi="Times New Roman"/>
                <w:sz w:val="24"/>
                <w:szCs w:val="24"/>
              </w:rPr>
              <w:t>на провадження господарської діяльності, пов’язаної з обігом наркотичних засобів, психотропних речовин і прекурсорів (зберігання, використання)</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20"/>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IBAN</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20"/>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Строк дії договору</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12"/>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ind w:firstLine="601" w:left="0"/>
              <w:jc w:val="both"/>
              <w:rPr>
                <w:rFonts w:ascii="Times New Roman" w:hAnsi="Times New Roman"/>
                <w:b w:val="1"/>
                <w:bCs w:val="1"/>
                <w:sz w:val="24"/>
                <w:szCs w:val="24"/>
              </w:rPr>
            </w:pPr>
            <w:r>
              <w:rPr>
                <w:rFonts w:ascii="Times New Roman" w:hAnsi="Times New Roman"/>
                <w:b w:val="1"/>
                <w:bCs w:val="1"/>
                <w:sz w:val="24"/>
                <w:szCs w:val="24"/>
              </w:rPr>
              <w:t>Перелік залучених осіб</w:t>
            </w:r>
          </w:p>
        </w:tc>
      </w:tr>
      <w:tr>
        <w:trPr>
          <w:trHeight w:hRule="atLeast" w:val="52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jc w:val="both"/>
              <w:rPr>
                <w:rFonts w:ascii="Times New Roman" w:hAnsi="Times New Roman"/>
                <w:bCs w:val="1"/>
                <w:sz w:val="24"/>
                <w:szCs w:val="24"/>
              </w:rPr>
            </w:pPr>
            <w:r>
              <w:rPr>
                <w:rFonts w:ascii="Times New Roman" w:hAnsi="Times New Roman"/>
                <w:bCs w:val="1"/>
                <w:sz w:val="24"/>
                <w:szCs w:val="24"/>
              </w:rPr>
              <w:t xml:space="preserve">Коди ЄДРПОУ підрядників.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613"/>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after="120" w:beforeAutospacing="0" w:afterAutospacing="0"/>
              <w:ind w:firstLine="567" w:left="34"/>
              <w:jc w:val="both"/>
              <w:rPr>
                <w:rFonts w:ascii="Times New Roman" w:hAnsi="Times New Roman"/>
                <w:b w:val="1"/>
                <w:bCs w:val="1"/>
                <w:sz w:val="24"/>
                <w:szCs w:val="24"/>
              </w:rPr>
            </w:pPr>
            <w:r>
              <w:rPr>
                <w:rFonts w:ascii="Times New Roman" w:hAnsi="Times New Roman"/>
                <w:b w:val="1"/>
                <w:bCs w:val="1"/>
                <w:sz w:val="24"/>
                <w:szCs w:val="24"/>
              </w:rPr>
              <w:t>Вимоги до організації надання послуги </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приймального відділення з приймально-оглядовим приміщенням або відділення екстреної (невідкладної) медичної допомоги, обладнаного відповідно до табеля матеріально-технічного оснащення для забезпечення первинного огляду пацієнта/пацієнтки з визначенням його/її маршрутизації.</w:t>
            </w:r>
          </w:p>
        </w:tc>
        <w:tc>
          <w:tcPr>
            <w:tcW w:w="2835"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Наявність відділення/палати інтенсивної терапії, обладнаних відповідно до табеля матеріально-технічного оснащення.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у розрахунку 20% загальної кількості ліжок, без врахування ліжок в умовах інтенсивної терапії, забезпечених кисневими точками з можливістю проведення кисневої терапії.</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проведення лабораторних досліджень у закладі або на умовах договору підряду.</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проведення інструментальної діагностики відповідно до галузевих стандартів у сфері охорони здоров’я.</w:t>
            </w:r>
          </w:p>
        </w:tc>
        <w:tc>
          <w:tcPr>
            <w:tcW w:w="2835"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реабілітації у сфері охорони здоров’я в гострому періоді, складання індивідуального реабілітаційного плану та планування подальшого реабілітаційного маршруту пацієнта.</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69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Взаємодія з іншими надавачами медичних послуг для своєчасного та ефективного надання допомоги пацієнтам.</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Обов’язкове інформування пацієнта/пацієнтки щодо можливості отримання інших необхідних медичних послуг безоплатно за рахунок коштів програми медичних гарантій.</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Інформування пацієнтів щодо можливостей профілактики та лікування, залучення пацієнтів до прийняття рішень щодо їх здоров'я, узгодження плану лікування з пацієнтами відповідно до їх очікувань та можливостей.</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47"/>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права пацієнта/пацієнтки, який/яка перебуває на лікуванні у відділенні/палаті інтенсивної терапії, на допуск до нього/неї відвідувачів 24 години на добу в будь-який день тижня згідно з правилами, визначеними чинними нормативно-правовими актами.</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91"/>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Здійснення закупівлі лікарських засобів та медичних виробів, необхідних для надання медичної допомоги відповідно до галузевих стандартів. Організація ефективного управління запасами лікарських засобів, медичних виробів та витратних матеріалів, закуплених закладом або отриманих шляхом централізованих закупівель МОЗ України. Використання та збереження залишків лікарських засобів та медичних виробів, необхідних для лікування пацієнтів, в тому числі після закінчення дії договору</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Чи здійснюється у закладі надання стаціонарної медичної допомоги без проведення хірургічних операцій дітям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55"/>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Чи здійснюється у закладі надання стаціонарної медичної допомоги без проведення хірургічних операцій дорослим  у цілодобовому режимі?</w:t>
            </w:r>
          </w:p>
        </w:tc>
      </w:tr>
      <w:tr>
        <w:trPr>
          <w:trHeight w:hRule="atLeast" w:val="549"/>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after="0" w:beforeAutospacing="0" w:afterAutospacing="0"/>
              <w:ind w:left="0"/>
              <w:jc w:val="both"/>
              <w:rPr>
                <w:rFonts w:ascii="Times New Roman" w:hAnsi="Times New Roman"/>
                <w:b w:val="1"/>
                <w:sz w:val="24"/>
                <w:szCs w:val="24"/>
                <w:lang w:eastAsia="uk-UA"/>
              </w:rPr>
            </w:pPr>
            <w:r>
              <w:rPr>
                <w:rFonts w:ascii="Times New Roman" w:hAnsi="Times New Roman"/>
                <w:b w:val="1"/>
                <w:sz w:val="24"/>
                <w:szCs w:val="24"/>
                <w:lang w:eastAsia="uk-UA"/>
              </w:rPr>
              <w:t>Додаткові вимоги до організації надання послуги (для надання медичної допомоги дітям)</w:t>
            </w: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Наявність відділення анестезіології та інтенсивної терапії та/або відділення відділення інтенсивної терапії для дітей  (щонайменше 9 ліжок).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Забезпечення цілодобового проведення лабораторних та інструментальних досліджень у закладі.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Наявність окремих сімейних палат, обладнаних відповідно до табелю оснащення профільного відділення, для сумісного перебування  батьків або членів родини або інших законних представників  разом з дитиною упродовж надання їй медичних послуг та/або реабілітаційних послуг в сфері охорони здоров'я.</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лікарів-інтернів.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after="0" w:beforeAutospacing="0" w:afterAutospacing="0"/>
              <w:jc w:val="both"/>
              <w:rPr>
                <w:rFonts w:ascii="Times New Roman" w:hAnsi="Times New Roman"/>
                <w:b w:val="1"/>
                <w:sz w:val="24"/>
                <w:szCs w:val="24"/>
                <w:lang w:eastAsia="uk-UA"/>
              </w:rPr>
            </w:pPr>
            <w:r>
              <w:rPr>
                <w:rFonts w:ascii="Times New Roman" w:hAnsi="Times New Roman"/>
                <w:b w:val="1"/>
                <w:sz w:val="24"/>
                <w:szCs w:val="24"/>
                <w:lang w:eastAsia="uk-UA"/>
              </w:rPr>
              <w:t>Додаткові вимоги до організації надання послуги (для надання медичної допомоги дорослим)</w:t>
            </w: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відділення екстреної (невідкладної) медичної допомоги із забезпеченням перебування пацієнта/пацієнтки у цьому відділенні не більше 24 годин.</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Наявність відділення анестезіології та інтенсивної терапії та/або відділення інтенсивної терапії (щонайменше 12 ліжок).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цілодобового проведення лабораторних та інструментальних досліджень у закладі.</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лікарів-інтернів.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firstLine="567" w:left="34"/>
              <w:jc w:val="both"/>
              <w:rPr>
                <w:rFonts w:ascii="Times New Roman" w:hAnsi="Times New Roman"/>
                <w:b w:val="1"/>
                <w:sz w:val="24"/>
                <w:szCs w:val="24"/>
                <w:lang w:eastAsia="uk-UA"/>
              </w:rPr>
            </w:pPr>
            <w:r>
              <w:rPr>
                <w:rFonts w:ascii="Times New Roman" w:hAnsi="Times New Roman"/>
                <w:b w:val="1"/>
                <w:sz w:val="24"/>
                <w:szCs w:val="24"/>
                <w:lang w:eastAsia="uk-UA"/>
              </w:rPr>
              <w:t>Вимоги до переліку обладнання у закладі</w:t>
            </w: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резервне джерело електропостачання;</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автоматичне перемикальне комутаційне обладнання відповідно до ДСТУ IEC 60947-6-1: 2007;</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ультразвукової візуалізації з доплером;</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електрокардіограф багатоканальний;</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система рентгенівська діагностична.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firstLine="601" w:left="0"/>
              <w:jc w:val="both"/>
              <w:rPr>
                <w:rFonts w:ascii="Times New Roman" w:hAnsi="Times New Roman"/>
                <w:b w:val="1"/>
                <w:sz w:val="24"/>
                <w:szCs w:val="24"/>
                <w:lang w:eastAsia="uk-UA"/>
              </w:rPr>
            </w:pPr>
            <w:r>
              <w:rPr>
                <w:rFonts w:ascii="Times New Roman" w:hAnsi="Times New Roman"/>
                <w:b w:val="1"/>
                <w:sz w:val="24"/>
                <w:szCs w:val="24"/>
                <w:lang w:eastAsia="uk-UA"/>
              </w:rPr>
              <w:t>У відділенні/палаті інтенсивної терапії</w:t>
            </w: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на кожне ліжко інтенсивної терапії зі швидкістю потоку кисню щонайменше 20 л/хв, в тому числі для забезпечення необхідного потоку та тиску кисню в системі для роботи апарата/ів ШВЛ;</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апарат штучної вентиляції легенів;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ларингоскоп з набором клинків;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7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моніторингу фізіологічних показників одного пацієнта (неінвазивний АТ, ЧСС, ЕКГ, SpO2, t) – щонайменше 2, у тому числі для дітей усіх вікових груп з комплектами відповідних манжеток та датчиків;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5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портативний дефібрилятор з функцією синхронізації, у тому числі з електродами для дефібриляції дітей усіх вікових груп у випадку надання допомоги дітям;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394"/>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автоматичний дозатор лікувальних речовин – щонайменше 4;</w:t>
            </w:r>
          </w:p>
        </w:tc>
      </w:tr>
      <w:tr>
        <w:trPr>
          <w:trHeight w:hRule="atLeast" w:val="33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аспіратор (відсмоктувач).</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firstLine="567" w:left="34"/>
              <w:jc w:val="both"/>
              <w:rPr>
                <w:rFonts w:ascii="Times New Roman" w:hAnsi="Times New Roman"/>
                <w:b w:val="1"/>
                <w:sz w:val="24"/>
                <w:szCs w:val="24"/>
                <w:lang w:eastAsia="uk-UA"/>
              </w:rPr>
            </w:pPr>
            <w:r>
              <w:rPr>
                <w:rFonts w:ascii="Times New Roman" w:hAnsi="Times New Roman"/>
                <w:b w:val="1"/>
                <w:sz w:val="24"/>
                <w:szCs w:val="24"/>
                <w:lang w:eastAsia="uk-UA"/>
              </w:rPr>
              <w:t>Додаткові вимоги до переліку обладнання (для надання медичної допомоги дітям)</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рентгенівської комп'ютерної томографії у закладі або на умовах оренди чи іншого права користування;</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гнучкий відеогастроскоп;</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3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гнучкий відеоколоноскоп;</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3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гнучкий відеобронхоскоп;</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ультразвукової візуалізації з кольоровим доплером і набором датчиків для дітей різного віку у випадку надання допомоги дітям замість системи ультразвукової візуалізації з доплером.</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52"/>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firstLine="601" w:left="0"/>
              <w:jc w:val="both"/>
              <w:rPr>
                <w:rFonts w:ascii="Times New Roman" w:hAnsi="Times New Roman"/>
                <w:b w:val="1"/>
                <w:sz w:val="24"/>
                <w:szCs w:val="24"/>
                <w:lang w:eastAsia="uk-UA"/>
              </w:rPr>
            </w:pPr>
            <w:r>
              <w:rPr>
                <w:rFonts w:ascii="Times New Roman" w:hAnsi="Times New Roman"/>
                <w:b w:val="1"/>
                <w:sz w:val="24"/>
                <w:szCs w:val="24"/>
                <w:lang w:eastAsia="uk-UA"/>
              </w:rPr>
              <w:t>У приймальному відділенні (для надання медичної допомоги дітям)</w:t>
            </w:r>
          </w:p>
        </w:tc>
      </w:tr>
      <w:tr>
        <w:trPr>
          <w:trHeight w:hRule="atLeast" w:val="43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глюкометр;</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3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електрокардіограф багатоканальний;</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портативний дефібрилятор з функцією синхронізації, у тому числі з електродами для дефібриляції дітей усіх вікових груп у випадку надання допомоги дітям;</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система моніторингу фізіологічних показників одного пацієнта (неінвазивний АТ, ЧСС, ЕКГ, SpO2, t);</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3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мішок ручної вентиляції легенів.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firstLine="459" w:left="0"/>
              <w:jc w:val="both"/>
              <w:rPr>
                <w:rFonts w:ascii="Times New Roman" w:hAnsi="Times New Roman"/>
                <w:b w:val="1"/>
                <w:sz w:val="24"/>
                <w:szCs w:val="24"/>
                <w:lang w:eastAsia="uk-UA"/>
              </w:rPr>
            </w:pPr>
            <w:r>
              <w:rPr>
                <w:rFonts w:ascii="Times New Roman" w:hAnsi="Times New Roman"/>
                <w:b w:val="1"/>
                <w:sz w:val="24"/>
                <w:szCs w:val="24"/>
                <w:lang w:eastAsia="uk-UA"/>
              </w:rPr>
              <w:t>У лабораторії (для надання медичної допомоги дітям)</w:t>
            </w:r>
          </w:p>
        </w:tc>
      </w:tr>
      <w:tr>
        <w:trPr>
          <w:trHeight w:hRule="atLeast" w:val="42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аналізатор газів крові;</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1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автоматичний гематологічний аналізатор;</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2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коагуляційний аналізатор;</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1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біохімічний аналізатор;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05"/>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аналізатор сечі.</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firstLine="601" w:left="0"/>
              <w:jc w:val="both"/>
              <w:rPr>
                <w:rFonts w:ascii="Times New Roman" w:hAnsi="Times New Roman"/>
                <w:b w:val="1"/>
                <w:sz w:val="24"/>
                <w:szCs w:val="24"/>
                <w:lang w:eastAsia="uk-UA"/>
              </w:rPr>
            </w:pPr>
            <w:r>
              <w:rPr>
                <w:rFonts w:ascii="Times New Roman" w:hAnsi="Times New Roman"/>
                <w:b w:val="1"/>
                <w:sz w:val="24"/>
                <w:szCs w:val="24"/>
                <w:lang w:eastAsia="uk-UA"/>
              </w:rPr>
              <w:t>У відділенні анестезіології та інтенсивної терапії та/або відділенні інтенсивної терапії для дітей</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апарат штучної вентиляції легенів для дітей усіх вікових груп – щонайменше 8;</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апарат штучної вентиляції легенів для транспортування пацієнтів для дітей усіх вікових груп;</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система моніторингу фізіологічних показників одного пацієнта (неінвазивний АТ, ЧСС, ЕКГ, SpO2, t) для дітей усіх вікових груп з комплектами відповідних манжеток та датчиків – щонайменше 8, щонайменше 1 з яких із можливістю вимірювання рівня CO2;</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пульсоксиметр для дітей усіх вікових груп  – щонайменше 9;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автоматичний дозатор лікувальних речовин – щонайменше 14;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пристрій для прискореної внутрішньовенної інфузії під тиском;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електрокардіограф багатоканальний для дітей усіх вікових груп;</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6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аспіратор (відсмоктувач) – щонайменше 8;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ларингоскоп з набором клинків або відеоларингоскоп – щонайменше 4;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відкрита реанімаційна система для виходжування новонароджених – щонайменше 4;</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35"/>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набір (укладка) для реанімації  – щонайменше 2;</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6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мішок ручної вентиляції легенів – щонайменше 6;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07"/>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ваги електронні – щонайменше 4;</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5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система рентгенівська діагностична портативна;</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стійка пересувна для вертикальних рентгенівських знімків;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система ультразвукової візуалізації цифрова з кольоровим доплером і набором датчиків:</w:t>
            </w:r>
          </w:p>
          <w:p>
            <w:pPr>
              <w:pStyle w:val="P3"/>
              <w:spacing w:lineRule="auto" w:line="240" w:after="0" w:beforeAutospacing="0" w:afterAutospacing="0"/>
              <w:ind w:left="1080"/>
              <w:jc w:val="both"/>
              <w:rPr>
                <w:rFonts w:ascii="Times New Roman" w:hAnsi="Times New Roman"/>
                <w:color w:val="000000"/>
                <w:sz w:val="24"/>
                <w:szCs w:val="24"/>
                <w:lang w:eastAsia="uk-UA"/>
              </w:rPr>
            </w:pPr>
            <w:r>
              <w:rPr>
                <w:rFonts w:ascii="Times New Roman" w:hAnsi="Times New Roman"/>
                <w:color w:val="000000"/>
                <w:sz w:val="24"/>
                <w:szCs w:val="24"/>
                <w:lang w:eastAsia="uk-UA"/>
              </w:rPr>
              <w:t>конвексний (абдомінальний);</w:t>
            </w:r>
          </w:p>
          <w:p>
            <w:pPr>
              <w:pStyle w:val="P3"/>
              <w:spacing w:lineRule="auto" w:line="240" w:after="0" w:beforeAutospacing="0" w:afterAutospacing="0"/>
              <w:ind w:left="1080"/>
              <w:jc w:val="both"/>
              <w:rPr>
                <w:rFonts w:ascii="Times New Roman" w:hAnsi="Times New Roman"/>
                <w:color w:val="000000"/>
                <w:sz w:val="24"/>
                <w:szCs w:val="24"/>
                <w:lang w:eastAsia="uk-UA"/>
              </w:rPr>
            </w:pPr>
            <w:r>
              <w:rPr>
                <w:rFonts w:ascii="Times New Roman" w:hAnsi="Times New Roman"/>
                <w:color w:val="000000"/>
                <w:sz w:val="24"/>
                <w:szCs w:val="24"/>
                <w:lang w:eastAsia="uk-UA"/>
              </w:rPr>
              <w:t>лінійний (для дослідження судин);</w:t>
            </w:r>
          </w:p>
          <w:p>
            <w:pPr>
              <w:pStyle w:val="P3"/>
              <w:spacing w:lineRule="auto" w:line="240" w:after="0" w:beforeAutospacing="0" w:afterAutospacing="0"/>
              <w:ind w:left="108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секторний з фазованою решіткою (кардіальний для ЕХОКс).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left="0"/>
              <w:jc w:val="both"/>
              <w:rPr>
                <w:rFonts w:ascii="Times New Roman" w:hAnsi="Times New Roman"/>
                <w:b w:val="1"/>
                <w:sz w:val="24"/>
                <w:szCs w:val="24"/>
                <w:lang w:eastAsia="uk-UA"/>
              </w:rPr>
            </w:pPr>
            <w:r>
              <w:rPr>
                <w:rFonts w:ascii="Times New Roman" w:hAnsi="Times New Roman"/>
                <w:b w:val="1"/>
                <w:sz w:val="24"/>
                <w:szCs w:val="24"/>
                <w:lang w:eastAsia="uk-UA"/>
              </w:rPr>
              <w:t>Додаткові вимоги до переліку обладнання (для надання медичної допомоги дорослим)</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рентгенівської комп'ютерної томографії або система магнітно-резонансної томографії у закладі або на умовах оренди чи іншого права користування;</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1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гнучкий відеогастроскоп;</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0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гнучкий відеоколоноскоп;</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1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гнучкий відеобронхоскоп.</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43"/>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firstLine="601" w:left="0"/>
              <w:jc w:val="both"/>
              <w:rPr>
                <w:rFonts w:ascii="Times New Roman" w:hAnsi="Times New Roman"/>
                <w:b w:val="1"/>
                <w:sz w:val="24"/>
                <w:szCs w:val="24"/>
                <w:lang w:eastAsia="uk-UA"/>
              </w:rPr>
            </w:pPr>
            <w:r>
              <w:rPr>
                <w:rFonts w:ascii="Times New Roman" w:hAnsi="Times New Roman"/>
                <w:b w:val="1"/>
                <w:sz w:val="24"/>
                <w:szCs w:val="24"/>
                <w:lang w:eastAsia="uk-UA"/>
              </w:rPr>
              <w:t>У відділенні екстреної (невідкладної) медичної допомоги</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3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неінвазивна система вентиляції легенів (BIPAP/CPAP);</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5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система ультразвукової візуалізації портативна;</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1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глюкометр;</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1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електрокардіограф багатоканальний;</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5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портативний дефібрилятор з функцією синхронізації;</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система моніторингу фізіологічних показників одного пацієнта (неінвазивний АТ, ЧСС, ЕКГ, SpO2, t);</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2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мішок ручної вентиляції легенів.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33"/>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firstLine="601" w:left="0"/>
              <w:jc w:val="both"/>
              <w:rPr>
                <w:rFonts w:ascii="Times New Roman" w:hAnsi="Times New Roman"/>
                <w:b w:val="1"/>
                <w:sz w:val="24"/>
                <w:szCs w:val="24"/>
                <w:lang w:eastAsia="uk-UA"/>
              </w:rPr>
            </w:pPr>
            <w:r>
              <w:rPr>
                <w:rFonts w:ascii="Times New Roman" w:hAnsi="Times New Roman"/>
                <w:b w:val="1"/>
                <w:sz w:val="24"/>
                <w:szCs w:val="24"/>
                <w:lang w:eastAsia="uk-UA"/>
              </w:rPr>
              <w:t>У лабораторії</w:t>
            </w:r>
          </w:p>
        </w:tc>
      </w:tr>
      <w:tr>
        <w:trPr>
          <w:trHeight w:hRule="atLeast" w:val="44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аналізатор газів крові;</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2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гематологічний аналізатор;</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1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коагуляційний аналізатор;</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0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біохімічний аналізатор;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5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аналізатор сечі.</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left="34"/>
              <w:jc w:val="both"/>
              <w:rPr>
                <w:rFonts w:ascii="Times New Roman" w:hAnsi="Times New Roman"/>
                <w:b w:val="1"/>
                <w:sz w:val="24"/>
                <w:szCs w:val="24"/>
                <w:lang w:eastAsia="uk-UA"/>
              </w:rPr>
            </w:pPr>
            <w:r>
              <w:rPr>
                <w:rFonts w:ascii="Times New Roman" w:hAnsi="Times New Roman"/>
                <w:b w:val="1"/>
                <w:sz w:val="24"/>
                <w:szCs w:val="24"/>
                <w:lang w:eastAsia="uk-UA"/>
              </w:rPr>
              <w:t>У відділенні анестезіології та інтенсивної терапії та/або відділенні інтенсивної терапії для дорослих</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2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апарат штучної вентиляції легенів – щонайменше 11;</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апарат штучної вентиляції легенів для транспортування пацієнтів – щонайменше 2;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4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система моніторингу фізіологічних показників одного пацієнта (неінвазивний АТ, ЧСС, ЕКГ, SpO2, t) – щонайменше 11, щонайменше 2 з яких із можливістю вимірювання рівня CO2;</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10"/>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пульсоксиметр – щонайменше 6;</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700"/>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автоматичний дозатор лікувальних речовин – щонайменше 14;</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40"/>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електрокардіограф багатоканальний;</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81"/>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електрокардіостимулятор зовнішній;</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81"/>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портативний дефібрилятор з функцією синхронізації;</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81"/>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аспіратор (відсмоктувач) – щонайменше 11;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81"/>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апарат для гострого гемодіалізу «Штучна нирка» (при відсутності відділення екстракорпоральної детоксикації);</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81"/>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мішок ручної вентиляції легенів – щонайменше 4;</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81"/>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система рентгенівська діагностична портативна;</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81"/>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набір (укладка) для реанімації – щонайменше 2;</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1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система ультразвукової візуалізації з кольоровим доплером і набором датчиків:                                                                                                                                                                                           конвексний (абдомінальний) з частотою 2-6 МГЦ;</w:t>
            </w:r>
          </w:p>
          <w:p>
            <w:pPr>
              <w:pStyle w:val="P3"/>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лінійний (для дослідження судин) з середньою частотою 7,5 МГц шириною 40-50 мм;</w:t>
            </w:r>
          </w:p>
          <w:p>
            <w:pPr>
              <w:pStyle w:val="P3"/>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секторний з фазованою решіткою (кардіальний для ЕХОКс) з частотою 2-4 МГц.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52"/>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before="120" w:after="120" w:beforeAutospacing="0" w:afterAutospacing="0"/>
              <w:jc w:val="both"/>
              <w:rPr>
                <w:rFonts w:ascii="Times New Roman" w:hAnsi="Times New Roman"/>
                <w:b w:val="1"/>
                <w:sz w:val="24"/>
                <w:szCs w:val="24"/>
                <w:lang w:eastAsia="uk-UA"/>
              </w:rPr>
            </w:pPr>
            <w:r>
              <w:rPr>
                <w:rFonts w:ascii="Times New Roman" w:hAnsi="Times New Roman"/>
                <w:b w:val="1"/>
                <w:sz w:val="24"/>
                <w:szCs w:val="24"/>
                <w:lang w:eastAsia="uk-UA"/>
              </w:rPr>
              <w:t>Інші вимоги</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ліцензії на право провадження діяльності з використання джерел іонізуючого випромінювання (експлуатація, зберігання, отримання)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48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after="120" w:beforeAutospacing="0" w:afterAutospacing="0"/>
              <w:jc w:val="both"/>
              <w:rPr>
                <w:rFonts w:ascii="Times New Roman" w:hAnsi="Times New Roman"/>
                <w:b w:val="1"/>
                <w:bCs w:val="1"/>
                <w:sz w:val="24"/>
                <w:szCs w:val="24"/>
              </w:rPr>
            </w:pPr>
            <w:r>
              <w:rPr>
                <w:rFonts w:ascii="Times New Roman" w:hAnsi="Times New Roman"/>
                <w:b w:val="1"/>
                <w:bCs w:val="1"/>
                <w:sz w:val="24"/>
                <w:szCs w:val="24"/>
              </w:rPr>
              <w:t>Загальна інформація</w:t>
            </w:r>
          </w:p>
        </w:tc>
        <w:tc>
          <w:tcPr>
            <w:tcW w:w="2835" w:type="dxa"/>
            <w:tcBorders>
              <w:top w:val="single" w:sz="4" w:space="0" w:shadow="0" w:frame="0"/>
              <w:left w:val="single" w:sz="4" w:space="0" w:shadow="0" w:frame="0"/>
              <w:bottom w:val="single" w:sz="4" w:space="0" w:shadow="0" w:frame="0"/>
              <w:right w:val="single" w:sz="4" w:space="0" w:shadow="0" w:frame="0"/>
            </w:tcBorders>
          </w:tcPr>
          <w:p>
            <w:pPr>
              <w:ind w:left="360"/>
              <w:jc w:val="both"/>
              <w:rPr>
                <w:rFonts w:ascii="Times New Roman" w:hAnsi="Times New Roman"/>
                <w:b w:val="1"/>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jc w:val="both"/>
              <w:rPr>
                <w:rFonts w:ascii="Times New Roman" w:hAnsi="Times New Roman"/>
                <w:bCs w:val="1"/>
                <w:sz w:val="24"/>
                <w:szCs w:val="24"/>
              </w:rPr>
            </w:pPr>
            <w:r>
              <w:rPr>
                <w:rFonts w:ascii="Times New Roman" w:hAnsi="Times New Roman"/>
                <w:bCs w:val="1"/>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jc w:val="both"/>
              <w:rPr>
                <w:rFonts w:ascii="Times New Roman" w:hAnsi="Times New Roman"/>
                <w:bCs w:val="1"/>
                <w:sz w:val="24"/>
                <w:szCs w:val="24"/>
              </w:rPr>
            </w:pPr>
            <w:r>
              <w:rPr>
                <w:rFonts w:ascii="Times New Roman" w:hAnsi="Times New Roman"/>
                <w:bCs w:val="1"/>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jc w:val="both"/>
              <w:rPr>
                <w:rFonts w:ascii="Times New Roman" w:hAnsi="Times New Roman"/>
                <w:bCs w:val="1"/>
                <w:sz w:val="24"/>
                <w:szCs w:val="24"/>
              </w:rPr>
            </w:pPr>
            <w:r>
              <w:rPr>
                <w:rFonts w:ascii="Times New Roman" w:hAnsi="Times New Roman"/>
                <w:bCs w:val="1"/>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jc w:val="both"/>
              <w:rPr>
                <w:rFonts w:ascii="Times New Roman" w:hAnsi="Times New Roman"/>
                <w:bCs w:val="1"/>
                <w:sz w:val="24"/>
                <w:szCs w:val="24"/>
              </w:rPr>
            </w:pPr>
            <w:r>
              <w:rPr>
                <w:rFonts w:ascii="Times New Roman" w:hAnsi="Times New Roman"/>
                <w:bCs w:val="1"/>
                <w:sz w:val="24"/>
                <w:szCs w:val="24"/>
              </w:rPr>
              <w:t>Підтвердження, що ознайомились з умовами закупівлі та специфікацією, визначеними в Повідомленні, і погоджуєтесь на них.</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jc w:val="both"/>
              <w:rPr>
                <w:rFonts w:ascii="Times New Roman" w:hAnsi="Times New Roman"/>
                <w:bCs w:val="1"/>
                <w:sz w:val="24"/>
                <w:szCs w:val="24"/>
              </w:rPr>
            </w:pPr>
            <w:r>
              <w:rPr>
                <w:rFonts w:ascii="Times New Roman" w:hAnsi="Times New Roman"/>
                <w:bCs w:val="1"/>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jc w:val="both"/>
              <w:rPr>
                <w:rFonts w:ascii="Times New Roman" w:hAnsi="Times New Roman"/>
                <w:bCs w:val="1"/>
                <w:sz w:val="24"/>
                <w:szCs w:val="24"/>
              </w:rPr>
            </w:pPr>
            <w:r>
              <w:rPr>
                <w:rFonts w:ascii="Times New Roman" w:hAnsi="Times New Roman"/>
                <w:bCs w:val="1"/>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r>
              <w:rPr>
                <w:rFonts w:ascii="Times New Roman" w:hAnsi="Times New Roman"/>
                <w:bCs w:val="1"/>
                <w:sz w:val="24"/>
                <w:szCs w:val="24"/>
                <w:lang w:val="en-US"/>
              </w:rPr>
              <w:t>dohovir</w:t>
            </w:r>
            <w:r>
              <w:rPr>
                <w:rFonts w:ascii="Times New Roman" w:hAnsi="Times New Roman"/>
                <w:bCs w:val="1"/>
                <w:sz w:val="24"/>
                <w:szCs w:val="24"/>
              </w:rPr>
              <w:t>@</w:t>
            </w:r>
            <w:r>
              <w:rPr>
                <w:rFonts w:ascii="Times New Roman" w:hAnsi="Times New Roman"/>
                <w:bCs w:val="1"/>
                <w:sz w:val="24"/>
                <w:szCs w:val="24"/>
                <w:lang w:val="en-US"/>
              </w:rPr>
              <w:t>nszy</w:t>
            </w:r>
            <w:r>
              <w:rPr>
                <w:rFonts w:ascii="Times New Roman" w:hAnsi="Times New Roman"/>
                <w:bCs w:val="1"/>
                <w:sz w:val="24"/>
                <w:szCs w:val="24"/>
              </w:rPr>
              <w:t>.</w:t>
            </w:r>
            <w:r>
              <w:rPr>
                <w:rFonts w:ascii="Times New Roman" w:hAnsi="Times New Roman"/>
                <w:bCs w:val="1"/>
                <w:sz w:val="24"/>
                <w:szCs w:val="24"/>
                <w:lang w:val="en-US"/>
              </w:rPr>
              <w:t>gov</w:t>
            </w:r>
            <w:r>
              <w:rPr>
                <w:rFonts w:ascii="Times New Roman" w:hAnsi="Times New Roman"/>
                <w:bCs w:val="1"/>
                <w:sz w:val="24"/>
                <w:szCs w:val="24"/>
              </w:rPr>
              <w:t>.</w:t>
            </w:r>
            <w:r>
              <w:rPr>
                <w:rFonts w:ascii="Times New Roman" w:hAnsi="Times New Roman"/>
                <w:bCs w:val="1"/>
                <w:sz w:val="24"/>
                <w:szCs w:val="24"/>
                <w:lang w:val="en-US"/>
              </w:rPr>
              <w:t>ua</w:t>
            </w:r>
            <w:r>
              <w:rPr>
                <w:rFonts w:ascii="Times New Roman" w:hAnsi="Times New Roman"/>
                <w:bCs w:val="1"/>
                <w:sz w:val="24"/>
                <w:szCs w:val="24"/>
              </w:rPr>
              <w:t xml:space="preserve"> з одночасним внесенням таких змін у Систему.</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jc w:val="both"/>
              <w:rPr>
                <w:rFonts w:ascii="Times New Roman" w:hAnsi="Times New Roman"/>
                <w:bCs w:val="1"/>
                <w:sz w:val="24"/>
                <w:szCs w:val="24"/>
              </w:rPr>
            </w:pPr>
            <w:r>
              <w:rPr>
                <w:rFonts w:ascii="Times New Roman" w:hAnsi="Times New Roman"/>
                <w:bCs w:val="1"/>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359"/>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beforeAutospacing="0" w:afterAutospacing="0"/>
              <w:ind w:left="0"/>
              <w:jc w:val="both"/>
              <w:rPr>
                <w:rFonts w:ascii="Times New Roman" w:hAnsi="Times New Roman"/>
                <w:b w:val="1"/>
                <w:bCs w:val="1"/>
                <w:sz w:val="24"/>
                <w:szCs w:val="24"/>
              </w:rPr>
            </w:pPr>
            <w:r>
              <w:rPr>
                <w:rFonts w:ascii="Times New Roman" w:hAnsi="Times New Roman"/>
                <w:b w:val="1"/>
                <w:bCs w:val="1"/>
                <w:sz w:val="24"/>
                <w:szCs w:val="24"/>
              </w:rPr>
              <w:t>ІНФОРМАЦІЯ</w:t>
            </w:r>
            <w:r>
              <w:rPr>
                <w:rFonts w:ascii="Times New Roman" w:hAnsi="Times New Roman"/>
                <w:bCs w:val="1"/>
                <w:sz w:val="24"/>
                <w:szCs w:val="24"/>
              </w:rPr>
              <w:t xml:space="preserve"> </w:t>
            </w:r>
            <w:r>
              <w:rPr>
                <w:rFonts w:ascii="Times New Roman" w:hAnsi="Times New Roman"/>
                <w:b w:val="1"/>
                <w:bCs w:val="1"/>
                <w:sz w:val="24"/>
                <w:szCs w:val="24"/>
              </w:rPr>
              <w:t xml:space="preserve">ПРО МІСЦЯ НАДАННЯ ПОСЛУГ </w:t>
            </w:r>
          </w:p>
        </w:tc>
      </w:tr>
      <w:tr>
        <w:trPr>
          <w:trHeight w:hRule="atLeast" w:val="46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jc w:val="both"/>
              <w:rPr>
                <w:rFonts w:ascii="Times New Roman" w:hAnsi="Times New Roman"/>
                <w:bCs w:val="1"/>
                <w:sz w:val="24"/>
                <w:szCs w:val="24"/>
              </w:rPr>
            </w:pPr>
            <w:r>
              <w:rPr>
                <w:rFonts w:ascii="Times New Roman" w:hAnsi="Times New Roman"/>
                <w:bCs w:val="1"/>
                <w:sz w:val="24"/>
                <w:szCs w:val="24"/>
              </w:rPr>
              <w:t>Місце надання послуг:</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402"/>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after="120" w:beforeAutospacing="0" w:afterAutospacing="0"/>
              <w:ind w:firstLine="34" w:left="0"/>
              <w:jc w:val="both"/>
              <w:rPr>
                <w:rFonts w:ascii="Times New Roman" w:hAnsi="Times New Roman"/>
                <w:b w:val="1"/>
                <w:bCs w:val="1"/>
                <w:sz w:val="24"/>
                <w:szCs w:val="24"/>
              </w:rPr>
            </w:pPr>
            <w:r>
              <w:rPr>
                <w:rFonts w:ascii="Times New Roman" w:hAnsi="Times New Roman"/>
                <w:b w:val="1"/>
                <w:bCs w:val="1"/>
                <w:sz w:val="24"/>
                <w:szCs w:val="24"/>
              </w:rPr>
              <w:t>Вимоги до спеціалістів та кількості фахівців, які працюють на посадах у закладі</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Лікар-ендоскопіст та/або лікар з ультразвукової діагностики, та/або лікар-рентгенолог, та/або лікар з функціональної діагностики – щонайменше одна особа з даного переліку, яка працює за основним місцем роботи в цьому закладі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Рентгенолаборант – щонайменше одна особа, яка працює за основним місцем роботи у цьому закладі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519"/>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before="120" w:beforeAutospacing="0" w:afterAutospacing="0"/>
              <w:ind w:left="0"/>
              <w:jc w:val="both"/>
              <w:rPr>
                <w:rFonts w:ascii="Times New Roman" w:hAnsi="Times New Roman"/>
                <w:b w:val="1"/>
                <w:bCs w:val="1"/>
                <w:sz w:val="24"/>
                <w:szCs w:val="24"/>
              </w:rPr>
            </w:pPr>
            <w:r>
              <w:rPr>
                <w:rFonts w:ascii="Times New Roman" w:hAnsi="Times New Roman"/>
                <w:b w:val="1"/>
                <w:bCs w:val="1"/>
                <w:sz w:val="24"/>
                <w:szCs w:val="24"/>
              </w:rPr>
              <w:t>У відділенні/палаті інтенсивної терапії</w:t>
            </w: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Лікар-анестезіолог</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Лікар-анестезіолог дитячий</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Лікар-анестезіолог та/або лікар-анестезіолог дитячий (за умови надання допомоги дітям) – щонайменше 2 особи з даного переліку, які працюють за основним місцем роботи в цьому закладі або за сумісництвом (цілодобовий пост).</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лікарів-анестезіологів , що зареєстровані в ЕСОЗ в закладі в цілому</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лікарів-анестезіологів дитячих, що зареєстровані в ЕСОЗ в закладі в цілому</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Сестра медична – щонайменше 4 особи, які працюють за основним місцем роботи в цьому закладі (цілодобовий пост).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сестер медичних, що зареєстровані в ЕСОЗ в закладі в цілому</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before="120" w:beforeAutospacing="0" w:afterAutospacing="0"/>
              <w:ind w:left="0"/>
              <w:jc w:val="both"/>
              <w:rPr>
                <w:rFonts w:ascii="Times New Roman" w:hAnsi="Times New Roman"/>
                <w:b w:val="1"/>
                <w:bCs w:val="1"/>
                <w:color w:val="000000"/>
                <w:sz w:val="24"/>
                <w:szCs w:val="24"/>
              </w:rPr>
            </w:pPr>
            <w:r>
              <w:rPr>
                <w:rFonts w:ascii="Times New Roman" w:hAnsi="Times New Roman"/>
                <w:b w:val="1"/>
                <w:bCs w:val="1"/>
                <w:color w:val="000000"/>
                <w:sz w:val="24"/>
                <w:szCs w:val="24"/>
              </w:rPr>
              <w:t>Додаткові вимоги до спеціалістів та кількості фахівців, які працюють на посадах (для надання медичної допомоги дітям)</w:t>
            </w: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та/або фізичний терапевт, та/або ерготерапевт – щонайменше 2 особи з даного переліку, які працюють за основним місцем роботи в цьому закладі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Лікар-ендоскопіст – щонайменше 2 особи додатково до основного переліку, які працюють за основним місцем роботи в цьому закладі або за сумісництвом.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Лікар з ультразвукової діагностики, який пройшов підготовку з ультразвукової діагностики в педіатрії (сертифікований курс тематичного удосконалення)  – щонайменше 2 особи додатково до основного переліку, які працюють за основним місцем роботи в цьому закладі або за сумісництвом. .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 з ультразвукової діагностики , що зареєстровані в ЕСОЗ в закладі в цілому</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Лікар-рентгенолог – щонайменше 2 особи додатково до основного переліку, які працюють за основним місцем роботи в цьому закладі або за сумісництвом. .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 з функціональної діагностики – щонайменше одна особа додатково до основного переліку, яка працює за основним місцем роботи в цьому закладі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лікарів-лаборантів, які працюють за основним місцем роботи у цьому закладі в цілому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біохіміків, які працюють за основним місцем роботи у цьому закладі в цілому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Загальна кількість лікарів-лаборантів та біохіміків Лікар-лаборант та/або біохімік – щонайменше 2 особи з даного переліку, які працюють за основним місцем роботи у цьому закладі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Фельдшер-лаборант та/або лаборант клінічної діагностики, та/або лаборант клініко-діагностичної лабораторії, та/або лаборант – щонайменше 4 особи з даного переліку, які працюють за основним місцем роботи в цьому закладі або за сумісництвом.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Рентгенолаборант – щонайменше 3 особи додатково до основного переліку, які працюють за основним місцем роботи у цьому закладі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before="120" w:beforeAutospacing="0" w:afterAutospacing="0"/>
              <w:ind w:left="0"/>
              <w:jc w:val="both"/>
              <w:rPr>
                <w:rFonts w:ascii="Times New Roman" w:hAnsi="Times New Roman"/>
                <w:b w:val="1"/>
                <w:bCs w:val="1"/>
                <w:color w:val="000000"/>
                <w:sz w:val="24"/>
                <w:szCs w:val="24"/>
              </w:rPr>
            </w:pPr>
            <w:r>
              <w:rPr>
                <w:rFonts w:ascii="Times New Roman" w:hAnsi="Times New Roman"/>
                <w:b w:val="1"/>
                <w:sz w:val="24"/>
                <w:szCs w:val="24"/>
                <w:lang w:eastAsia="uk-UA"/>
              </w:rPr>
              <w:t xml:space="preserve"> у відділенні анестезіології та інтенсивної терапії та/або відділенні інтенсивної терапії для дітей</w:t>
            </w: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Лікар-анестезіолог дитячий – щонайменше 4 особи додатково до основного переліку, які працюють за основним місцем роботи в цьому закладі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Сестра медична – щонайменше 8 осіб додатково до основного переліку, які працюють за основним місцем роботи в цьому закладі (цілодобовий пост).</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ind w:firstLine="34" w:left="0"/>
              <w:jc w:val="both"/>
              <w:rPr>
                <w:rFonts w:ascii="Times New Roman" w:hAnsi="Times New Roman"/>
                <w:b w:val="1"/>
                <w:bCs w:val="1"/>
                <w:color w:val="000000"/>
                <w:sz w:val="24"/>
                <w:szCs w:val="24"/>
              </w:rPr>
            </w:pPr>
            <w:r>
              <w:rPr>
                <w:rFonts w:ascii="Times New Roman" w:hAnsi="Times New Roman"/>
                <w:b w:val="1"/>
                <w:bCs w:val="1"/>
                <w:color w:val="000000"/>
                <w:sz w:val="24"/>
                <w:szCs w:val="24"/>
              </w:rPr>
              <w:t>Додаткові вимоги до спеціалістів та кількості фахівців, які працюють на посадах (для надання медичної допомоги дорослим)</w:t>
            </w: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та/або фізичний терапевт, та/або ерготерапевт – щонайменше 2 особи з даного переліку, які працюють за основним місцем роботи в цьому закладі або за сумісництвом.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Лікар-ендоскопіст – щонайменше 2 особи додатково до основного переліку, які працюють за основним місцем роботи в цьому закладі або за сумісництвом.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Лікар з ультразвукової діагностики – щонайменше 2 особи додатково до основного переліку, які працюють за основним місцем роботи в цьому закладі або за сумісництвом.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 з ультразвукової діагностики , що зареєстровані в ЕСОЗ в закладі в цілому</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d. Лікар-рентгенолог – щонайменше 2 особи додатково до основного переліку, які працюють за основним місцем роботи в цьому закладі або за сумісництвом.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 з функціональної діагностики – щонайменше одна особа додатково до основного переліку, яка працює за основним місцем роботи в цьому закладі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лікарів-лаборантів, які працюють за основним місцем роботи у цьому закладі в цілому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біохіміків, які працюють за основним місцем роботи у цьому закладі в цілому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Загальна кількість лікарів-лаборантів та біохіміків Лікар-лаборант та/або біохімік – щонайменше 2 особи з даного переліку, які працюють за основним місцем роботи у цьому закладі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Фельдшер-лаборант та/або лаборант клінічної діагностики, та/або лаборант клініко-діагностичної лабораторії, та/або лаборант – щонайменше 4 особи з даного переліку, які працюють за основним місцем роботи в цьому закладі або за сумісництвом.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Рентгенолаборант – щонайменше 3 особи, які працюють за основним місцем роботи додатково до основного переліку у цьому закладі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ind w:left="0"/>
              <w:jc w:val="both"/>
              <w:rPr>
                <w:rFonts w:ascii="Times New Roman" w:hAnsi="Times New Roman"/>
                <w:b w:val="1"/>
                <w:bCs w:val="1"/>
                <w:sz w:val="24"/>
                <w:szCs w:val="24"/>
              </w:rPr>
            </w:pPr>
            <w:r>
              <w:rPr>
                <w:rFonts w:ascii="Times New Roman" w:hAnsi="Times New Roman"/>
                <w:b w:val="1"/>
                <w:bCs w:val="1"/>
                <w:sz w:val="24"/>
                <w:szCs w:val="24"/>
              </w:rPr>
              <w:t xml:space="preserve"> у відділенні анестезіології та інтенсивної терапії та/або відділенні інтенсивної терапії для дорослих</w:t>
            </w: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Лікар-анестезіолог – щонайменше 4 особи додатково до основного переліку, які працюють за основним місцем роботи в цьому закладі або за сумісництвом.</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Сестра медична – щонайменше 8 осіб додатково до основного переліку, які працюють за основним місцем роботи в цьому закладі (цілодобовий пост).</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ind w:left="0"/>
              <w:jc w:val="both"/>
              <w:rPr>
                <w:rFonts w:ascii="Times New Roman" w:hAnsi="Times New Roman"/>
                <w:b w:val="1"/>
                <w:bCs w:val="1"/>
                <w:sz w:val="24"/>
                <w:szCs w:val="24"/>
              </w:rPr>
            </w:pPr>
            <w:r>
              <w:rPr>
                <w:rFonts w:ascii="Times New Roman" w:hAnsi="Times New Roman"/>
                <w:b w:val="1"/>
                <w:bCs w:val="1"/>
                <w:sz w:val="24"/>
                <w:szCs w:val="24"/>
              </w:rPr>
              <w:t xml:space="preserve"> у відділенні екстреної (невідкладної) медичної допомоги</w:t>
            </w: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 з медицини невідкладних станів – щонайменше 2 особи, які працюють за основним місцем роботи в цьому закладі.</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Сестра медична та/або фельдшер, та/або фельдшер з медицини невідкладних станів – щонайменше 4 особи з даного переліку, які працюють за основним місцем роботи в цьому закладі.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ind w:left="0"/>
              <w:jc w:val="both"/>
              <w:rPr>
                <w:rFonts w:ascii="Times New Roman" w:hAnsi="Times New Roman"/>
                <w:b w:val="1"/>
                <w:bCs w:val="1"/>
                <w:color w:val="000000"/>
                <w:sz w:val="24"/>
                <w:szCs w:val="24"/>
              </w:rPr>
            </w:pPr>
            <w:r>
              <w:rPr>
                <w:rFonts w:ascii="Times New Roman" w:hAnsi="Times New Roman"/>
                <w:b w:val="1"/>
                <w:bCs w:val="1"/>
                <w:color w:val="000000"/>
                <w:sz w:val="24"/>
                <w:szCs w:val="24"/>
              </w:rPr>
              <w:t>Вимоги до спеціалізації та кількості фахівців</w:t>
            </w:r>
            <w:r>
              <w:rPr>
                <w:rFonts w:ascii="Times New Roman" w:hAnsi="Times New Roman"/>
                <w:b w:val="1"/>
                <w:bCs w:val="0"/>
                <w:smallCaps w:val="0"/>
                <w:color w:val="000000"/>
                <w:sz w:val="24"/>
                <w:szCs w:val="22"/>
                <w:cs w:val="0"/>
                <w:spacing w:val="0"/>
                <w:w w:val="100"/>
                <w:position w:val="0"/>
                <w:snapToGrid w:val="1"/>
              </w:rPr>
              <w:t>, які працюють на по</w:t>
            </w:r>
            <w:r>
              <w:rPr>
                <w:rFonts w:ascii="Times New Roman" w:hAnsi="Times New Roman"/>
                <w:b w:val="1"/>
                <w:bCs w:val="0"/>
                <w:smallCaps w:val="0"/>
                <w:color w:val="000000"/>
                <w:sz w:val="24"/>
                <w:szCs w:val="22"/>
                <w:cs w:val="0"/>
                <w:spacing w:val="0"/>
                <w:w w:val="100"/>
                <w:position w:val="0"/>
                <w:snapToGrid w:val="1"/>
              </w:rPr>
              <w:t>садах за місцем надання послуг</w:t>
            </w: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color w:val="000000"/>
                <w:sz w:val="24"/>
                <w:szCs w:val="24"/>
                <w:lang w:eastAsia="uk-UA"/>
              </w:rPr>
              <w:t>Вкажіть кількість фахівців з переліку: Лікар-акушер-гінеколог та/або лікар-гінеколог дитячого та підліткового віку, та/або лікар-терапевт, та/або лікар-терапевт підлітковий, та/або лікар-алерголог, та/або лікар-алерголог дитячий, та/або лікар-гастроентеролог, та/або лікар-гастроентеролог дитячий, та/або лікар-гематолог, та/або лікар-гематолог дитячий, та/або лікар-геріатр, та/або лікар-дерматовенеролог, та/або лікар-дерматовенеролог дитячий, та/або лікар-ендокринолог, та/або лікар-ендокринолог дитячий, та/або лікар-імунолог, та/або лікар-імунолог дитячий, та/або лікар-імунолог клінічний, та/або лікар-інфекціоніст, та/або лікар-інфекціоніст дитячий, та/або лікар-кардіолог, та/або лікар-кардіолог дитячий, та/або лікар-кардіолог інтервенційний, та/або лікар-кардіолог-електрофізіолог, та/або лікар-кардіоревматолог дитячий, та/або лікар-комбустіолог, та/або лікар-невропатолог, та/або лікар-невролог дитячий, та/або лікар-нейрохірург, та/або лікар-нейрохірург дитячий, та/або лікар-нефролог, та/або лікар-нефролог дитячий, та/або лікар-ортопед-травматолог, лікар-ортопед-травматолог дитячий, та/або лікар-отоларинголог, та/або лікар-отоларинголог дитячий, та/або лікар-офтальмолог, та/або лікар-офтальмолог дитячий, та/або лікар-педіатр, та/або лікар-педіатр-неонатолог, та/або лікар-пульмонолог, та/або лікар-пульмонолог дитячий, та/або лікар-ревматолог, та/або лікар-ревматолог дитячий, та/або лікар-токсиколог, та/або лікар-уролог, та/або лікар-уролог дитячий, та/або лікар-хірург, та/або лікар-хірург дитячий, та/або лікар-хірург-проктолог, та/або лікар-хірург судинний, та/або лікар-хірург серцево-судинний, та/або лікар-хірург торакальний – щонайменше 4 особи з даного переліку, які працюють за основним місцем роботи в цьому закладі (цілодобовий пост).</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color w:val="000000"/>
                <w:sz w:val="24"/>
                <w:szCs w:val="24"/>
                <w:lang w:eastAsia="uk-UA"/>
              </w:rPr>
              <w:t>Вкажіть кількість сестер медичних особи, які працюють за основним місцем роботи в цьому закладі (цілодобовий пост). Сестра медична – щонайменше 4</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before="120" w:beforeAutospacing="0" w:afterAutospacing="0"/>
              <w:ind w:firstLine="34" w:left="0"/>
              <w:jc w:val="both"/>
              <w:rPr>
                <w:rFonts w:ascii="Times New Roman" w:hAnsi="Times New Roman"/>
                <w:b w:val="1"/>
                <w:bCs w:val="1"/>
                <w:color w:val="000000"/>
                <w:sz w:val="24"/>
                <w:szCs w:val="24"/>
              </w:rPr>
            </w:pPr>
            <w:r>
              <w:rPr>
                <w:rFonts w:ascii="Times New Roman" w:hAnsi="Times New Roman"/>
                <w:b w:val="1"/>
                <w:bCs w:val="1"/>
                <w:color w:val="000000"/>
                <w:sz w:val="24"/>
                <w:szCs w:val="24"/>
              </w:rPr>
              <w:t>Додаткові вимоги до спеціалістів та кількості фахівців, які працюють на посадах (для надання медичної допомоги дітям)</w:t>
            </w: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Вкажіть кількість додатково до основного переліку фахівців з переліку: Лікар-гінеколог дитячого та підліткового віку та/або лікар-алерголог дитячий, та/або лікар-гастроентеролог дитячий, та/або лікар-гематолог дитячий, та/або лікар-дерматовенеролог дитячий, та/або лікар-ендокринолог дитячий, та/або лікар-імунолог дитячий, та/або лікар-імунолог клінічний, та/або лікар-інфекціоніст дитячий, та/або лікар-кардіолог дитячий, та/або лікар-кардіоревматолог дитячий, та/або лікар-комбустіолог, та/або лікар-невролог дитячий, та/або лікар-нейрохірург дитячий, та/або лікар-нефролог дитячий, та/або лікар-ортопед-травматолог дитячий, та/або лікар-отоларинголог дитячий, та/або лікар-офтальмолог дитячий, та/або лікар-педіатр, та/або лікар-педіатр-неонатолог, та/або лікар-пульмонолог дитячий, та/або лікар-ревматолог дитячий, та/або лікар-токсиколог, та/або лікар-уролог дитячий, та/або лікар-хірург дитячий – щонайменше 4 особи з даного переліку додатково до основного переліку, які працюють за основним місцем роботи в цьому закладі.</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Вкажіть кількість сестер медичних додатково до основного переліку, які працюють за основним місцем роботи в цьому закладі (цілодобовий пост). Сестра медична – щонайменше 8 осіб </w:t>
            </w:r>
          </w:p>
        </w:tc>
        <w:tc>
          <w:tcPr>
            <w:tcW w:w="2835"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84"/>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spacing w:lineRule="auto" w:line="240" w:before="120" w:after="0" w:beforeAutospacing="0" w:afterAutospacing="0"/>
              <w:ind w:left="360"/>
              <w:jc w:val="both"/>
              <w:rPr>
                <w:rFonts w:ascii="Times New Roman" w:hAnsi="Times New Roman"/>
                <w:b w:val="1"/>
                <w:sz w:val="24"/>
                <w:szCs w:val="24"/>
                <w:lang w:eastAsia="uk-UA"/>
              </w:rPr>
            </w:pPr>
            <w:r>
              <w:rPr>
                <w:rFonts w:ascii="Times New Roman" w:hAnsi="Times New Roman"/>
                <w:b w:val="1"/>
                <w:sz w:val="24"/>
                <w:szCs w:val="24"/>
                <w:lang w:eastAsia="uk-UA"/>
              </w:rPr>
              <w:t>Додаткові вимоги до спеціалістів та кількості фахівців, які працюють на посадах (для надання медичної допомоги дорослим)</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Лікар-акушер-гінеколог та/або лікар-терапевт, та/або лікар-алерголог, та/або лікар-гастроентеролог, та/або лікар-гематолог, та/або лікар-геріатр, та/або лікар-дерматовенеролог, та/або лікар-ендокринолог, та/або лікар-імунолог, та/або лікар-імунолог клінічний, та/або лікар-інфекціоніст, та/або лікар-кардіолог, та/або лікар-кардіолог інтервенційний, та/або лікар-кардіолог-електрофізіолог, та/або лікар-комбустіолог, та/або лікар-невропатолог, та/або лікар-нейрохірург, та/або лікар-нефролог, та/або лікар-ортопед-травматолог, та/або лікар-отоларинголог, та/або лікар-офтальмолог, та/або лікар-педіатр, та/або лікар-педіатр-неонатолог, та/або лікар-пульмонолог, та/або лікар-ревматолог, та/або лікар-токсиколог, та/або лікар-уролог, та/або лікар-хірург, та/або лікар-хірург-проктолог, та/або лікар-хірург судинний, та/або лікар-хірург серцево-судинний, та/або лікар-хірург торакальний – щонайменшео  6 осіб з даного переліку додатково до основного переліку, які працюють за основним місцем роботи в цьому закладі (цілодобовий пост).</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733"/>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Сестра медична – щонайменше 8 осіб додатково до основного переліку, які працюють за основним місцем роботи в цьому закладі (цілодобовий пост).</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17"/>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firstLine="425" w:left="34"/>
              <w:jc w:val="both"/>
              <w:rPr>
                <w:rFonts w:ascii="Times New Roman" w:hAnsi="Times New Roman"/>
                <w:b w:val="1"/>
                <w:color w:val="000000"/>
                <w:sz w:val="24"/>
                <w:szCs w:val="24"/>
                <w:lang w:eastAsia="uk-UA"/>
              </w:rPr>
            </w:pPr>
            <w:r>
              <w:rPr>
                <w:rFonts w:ascii="Times New Roman" w:hAnsi="Times New Roman"/>
                <w:b w:val="1"/>
                <w:sz w:val="24"/>
                <w:szCs w:val="24"/>
                <w:lang w:eastAsia="uk-UA"/>
              </w:rPr>
              <w:t>Вимоги до переліку обладнання</w:t>
            </w:r>
          </w:p>
        </w:tc>
      </w:tr>
      <w:tr>
        <w:trPr>
          <w:trHeight w:hRule="atLeast" w:val="581"/>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забезпечення киснем щонайменше 20% ліжок: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зі швидкістю потоку кисню щонайменше 20 л/хв;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1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автоматичний дозатор лікувальних речовин – щонайменше 20;</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2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мішок ручної вентиляції легенів;</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17"/>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глюкометр;</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0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пульсоксиметр – щонайменше 4;</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70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тонометр та/або тонометр педіатричний з манжетками для дітей різного віку; </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6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термометр безконтактний – щонайменше 2;</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69"/>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ваги медичні, ростомір медичний, медичні ваги для немовлят (для дитячих відділень) за потребою.</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84"/>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120" w:beforeAutospacing="0" w:afterAutospacing="0"/>
              <w:jc w:val="both"/>
              <w:rPr>
                <w:rFonts w:ascii="Times New Roman" w:hAnsi="Times New Roman"/>
                <w:b w:val="1"/>
                <w:sz w:val="24"/>
                <w:szCs w:val="24"/>
                <w:lang w:eastAsia="uk-UA"/>
              </w:rPr>
            </w:pPr>
            <w:r>
              <w:rPr>
                <w:rFonts w:ascii="Times New Roman" w:hAnsi="Times New Roman"/>
                <w:b w:val="1"/>
                <w:sz w:val="24"/>
                <w:szCs w:val="24"/>
                <w:lang w:eastAsia="uk-UA"/>
              </w:rPr>
              <w:t>Включення місць надання послуг в ліцензію на медичну практику</w:t>
            </w:r>
          </w:p>
        </w:tc>
      </w:tr>
      <w:tr>
        <w:trPr>
          <w:trHeight w:hRule="atLeast" w:val="601"/>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Чи включене обране місце надання послуг в ліцензію на медичну практику?</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4"/>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2835"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9498"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after="0" w:beforeAutospacing="0" w:afterAutospacing="0"/>
              <w:ind w:left="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pPr>
        <w:jc w:val="both"/>
        <w:rPr>
          <w:rFonts w:ascii="Times New Roman" w:hAnsi="Times New Roman"/>
          <w:sz w:val="24"/>
          <w:szCs w:val="24"/>
        </w:rPr>
      </w:pPr>
    </w:p>
    <w:p>
      <w:pPr>
        <w:ind w:firstLine="567"/>
        <w:jc w:val="both"/>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tbl>
      <w:tblPr>
        <w:tblW w:w="9781" w:type="dxa"/>
        <w:tblLook w:val="04A0"/>
      </w:tblPr>
      <w:tblGrid/>
      <w:tr>
        <w:trPr>
          <w:trHeight w:hRule="atLeast" w:val="276"/>
        </w:trPr>
        <w:tc>
          <w:tcPr>
            <w:tcW w:w="9781" w:type="dxa"/>
            <w:tcBorders>
              <w:top w:val="nil"/>
              <w:left w:val="nil"/>
              <w:bottom w:val="nil"/>
              <w:right w:val="nil"/>
            </w:tcBorders>
            <w:shd w:val="clear" w:color="auto" w:fill="auto"/>
            <w:hideMark/>
          </w:tcPr>
          <w:p>
            <w:pPr>
              <w:spacing w:lineRule="auto" w:line="240" w:after="0" w:beforeAutospacing="0" w:afterAutospacing="0"/>
              <w:jc w:val="center"/>
              <w:rPr>
                <w:color w:val="000000"/>
                <w:sz w:val="20"/>
                <w:szCs w:val="20"/>
                <w:lang w:eastAsia="uk-UA"/>
              </w:rPr>
            </w:pPr>
            <w:r>
              <w:rPr>
                <w:color w:val="000000"/>
                <w:sz w:val="20"/>
                <w:szCs w:val="20"/>
                <w:lang w:eastAsia="uk-UA"/>
              </w:rPr>
              <w:t>_______________________________________________________</w:t>
            </w:r>
          </w:p>
        </w:tc>
      </w:tr>
    </w:tbl>
    <w:p>
      <w:pPr>
        <w:jc w:val="center"/>
      </w:pPr>
    </w:p>
    <w:p>
      <w:pPr>
        <w:jc w:val="center"/>
      </w:pPr>
      <w:bookmarkStart w:id="0" w:name="_GoBack"/>
      <w:bookmarkEnd w:id="0"/>
    </w:p>
    <w:sectPr>
      <w:headerReference xmlns:r="http://schemas.openxmlformats.org/officeDocument/2006/relationships" w:type="default" r:id="RelHdr1"/>
      <w:footnotePr/>
      <w:endnotePr/>
      <w:type w:val="nextPage"/>
      <w:pgSz w:w="11906" w:h="16838" w:code="0"/>
      <w:pgMar w:left="1417" w:right="850" w:top="850" w:bottom="850" w:header="708" w:footer="708" w:gutter="0"/>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pPr>
    <w:r>
      <w:fldChar w:fldCharType="begin"/>
    </w:r>
    <w:r>
      <w:instrText xml:space="preserve">PAGE   \* MERGEFORMAT</w:instrText>
    </w:r>
    <w:r>
      <w:fldChar w:fldCharType="separate"/>
    </w:r>
    <w:r>
      <w:rPr>
        <w:noProof w:val="1"/>
        <w:lang w:val="ru-RU"/>
      </w:rPr>
      <w:t>#</w:t>
    </w:r>
    <w:r>
      <w:fldChar w:fldCharType="end"/>
    </w:r>
  </w:p>
  <w:p>
    <w:pPr>
      <w:pStyle w:val="P1"/>
    </w:pPr>
  </w:p>
</w:hdr>
</file>

<file path=word/numbering.xml><?xml version="1.0" encoding="utf-8"?>
<w:numbering xmlns:w="http://schemas.openxmlformats.org/wordprocessingml/2006/main">
  <w:abstractNum w:abstractNumId="0">
    <w:nsid w:val="088B607E"/>
    <w:multiLevelType w:val="hybridMultilevel"/>
    <w:lvl w:ilvl="0" w:tplc="509A76D4">
      <w:start w:val="9"/>
      <w:numFmt w:val="lowerLetter"/>
      <w:suff w:val="tab"/>
      <w:lvlText w:val="%1."/>
      <w:lvlJc w:val="left"/>
      <w:pPr>
        <w:ind w:hanging="360" w:left="1080"/>
      </w:pPr>
      <w:rPr/>
    </w:lvl>
    <w:lvl w:ilvl="1" w:tplc="04220019">
      <w:start w:val="1"/>
      <w:numFmt w:val="lowerLetter"/>
      <w:suff w:val="tab"/>
      <w:lvlText w:val="%2."/>
      <w:lvlJc w:val="left"/>
      <w:pPr>
        <w:ind w:hanging="360" w:left="1800"/>
      </w:pPr>
      <w:rPr/>
    </w:lvl>
    <w:lvl w:ilvl="2" w:tplc="0422001B">
      <w:start w:val="1"/>
      <w:numFmt w:val="lowerRoman"/>
      <w:suff w:val="tab"/>
      <w:lvlText w:val="%3."/>
      <w:lvlJc w:val="right"/>
      <w:pPr>
        <w:ind w:hanging="180" w:left="2520"/>
      </w:pPr>
      <w:rPr/>
    </w:lvl>
    <w:lvl w:ilvl="3" w:tplc="0422000F">
      <w:start w:val="1"/>
      <w:numFmt w:val="decimal"/>
      <w:suff w:val="tab"/>
      <w:lvlText w:val="%4."/>
      <w:lvlJc w:val="left"/>
      <w:pPr>
        <w:ind w:hanging="360" w:left="3240"/>
      </w:pPr>
      <w:rPr/>
    </w:lvl>
    <w:lvl w:ilvl="4" w:tplc="04220019">
      <w:start w:val="1"/>
      <w:numFmt w:val="lowerLetter"/>
      <w:suff w:val="tab"/>
      <w:lvlText w:val="%5."/>
      <w:lvlJc w:val="left"/>
      <w:pPr>
        <w:ind w:hanging="360" w:left="3960"/>
      </w:pPr>
      <w:rPr/>
    </w:lvl>
    <w:lvl w:ilvl="5" w:tplc="0422001B">
      <w:start w:val="1"/>
      <w:numFmt w:val="lowerRoman"/>
      <w:suff w:val="tab"/>
      <w:lvlText w:val="%6."/>
      <w:lvlJc w:val="right"/>
      <w:pPr>
        <w:ind w:hanging="180" w:left="4680"/>
      </w:pPr>
      <w:rPr/>
    </w:lvl>
    <w:lvl w:ilvl="6" w:tplc="0422000F">
      <w:start w:val="1"/>
      <w:numFmt w:val="decimal"/>
      <w:suff w:val="tab"/>
      <w:lvlText w:val="%7."/>
      <w:lvlJc w:val="left"/>
      <w:pPr>
        <w:ind w:hanging="360" w:left="5400"/>
      </w:pPr>
      <w:rPr/>
    </w:lvl>
    <w:lvl w:ilvl="7" w:tplc="04220019">
      <w:start w:val="1"/>
      <w:numFmt w:val="lowerLetter"/>
      <w:suff w:val="tab"/>
      <w:lvlText w:val="%8."/>
      <w:lvlJc w:val="left"/>
      <w:pPr>
        <w:ind w:hanging="360" w:left="6120"/>
      </w:pPr>
      <w:rPr/>
    </w:lvl>
    <w:lvl w:ilvl="8" w:tplc="0422001B">
      <w:start w:val="1"/>
      <w:numFmt w:val="lowerRoman"/>
      <w:suff w:val="tab"/>
      <w:lvlText w:val="%9."/>
      <w:lvlJc w:val="right"/>
      <w:pPr>
        <w:ind w:hanging="180" w:left="6840"/>
      </w:pPr>
      <w:rPr/>
    </w:lvl>
  </w:abstractNum>
  <w:abstractNum w:abstractNumId="1">
    <w:nsid w:val="11AF220A"/>
    <w:multiLevelType w:val="hybridMultilevel"/>
    <w:lvl w:ilvl="0" w:tplc="8668C4F8">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2">
    <w:nsid w:val="11FB0ECD"/>
    <w:multiLevelType w:val="hybridMultilevel"/>
    <w:lvl w:ilvl="0" w:tplc="0422000F">
      <w:start w:val="1"/>
      <w:numFmt w:val="decimal"/>
      <w:suff w:val="tab"/>
      <w:lvlText w:val="%1."/>
      <w:lvlJc w:val="left"/>
      <w:pPr>
        <w:ind w:hanging="360" w:left="644"/>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3">
    <w:nsid w:val="24BE470C"/>
    <w:multiLevelType w:val="hybridMultilevel"/>
    <w:lvl w:ilvl="0" w:tplc="925EAB54">
      <w:start w:val="1"/>
      <w:numFmt w:val="decimal"/>
      <w:suff w:val="space"/>
      <w:lvlText w:val="%1."/>
      <w:lvlJc w:val="left"/>
      <w:pPr>
        <w:ind w:hanging="360" w:left="720"/>
      </w:pPr>
      <w:rPr>
        <w:color w:val="auto"/>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4">
    <w:nsid w:val="27F221AD"/>
    <w:multiLevelType w:val="hybridMultilevel"/>
    <w:lvl w:ilvl="0" w:tplc="22D2286C">
      <w:start w:val="1"/>
      <w:numFmt w:val="decimal"/>
      <w:suff w:val="space"/>
      <w:lvlText w:val="%1."/>
      <w:lvlJc w:val="left"/>
      <w:pPr>
        <w:ind w:hanging="360" w:left="1070"/>
      </w:pPr>
      <w:rPr/>
    </w:lvl>
    <w:lvl w:ilvl="1" w:tplc="04220019">
      <w:start w:val="1"/>
      <w:numFmt w:val="lowerLetter"/>
      <w:suff w:val="tab"/>
      <w:lvlText w:val="%2."/>
      <w:lvlJc w:val="left"/>
      <w:pPr>
        <w:ind w:hanging="360" w:left="1790"/>
      </w:pPr>
      <w:rPr/>
    </w:lvl>
    <w:lvl w:ilvl="2" w:tplc="0422001B">
      <w:start w:val="1"/>
      <w:numFmt w:val="lowerRoman"/>
      <w:suff w:val="tab"/>
      <w:lvlText w:val="%3."/>
      <w:lvlJc w:val="right"/>
      <w:pPr>
        <w:ind w:hanging="180" w:left="2510"/>
      </w:pPr>
      <w:rPr/>
    </w:lvl>
    <w:lvl w:ilvl="3" w:tplc="0422000F">
      <w:start w:val="1"/>
      <w:numFmt w:val="decimal"/>
      <w:suff w:val="tab"/>
      <w:lvlText w:val="%4."/>
      <w:lvlJc w:val="left"/>
      <w:pPr>
        <w:ind w:hanging="360" w:left="3230"/>
      </w:pPr>
      <w:rPr/>
    </w:lvl>
    <w:lvl w:ilvl="4" w:tplc="04220019">
      <w:start w:val="1"/>
      <w:numFmt w:val="lowerLetter"/>
      <w:suff w:val="tab"/>
      <w:lvlText w:val="%5."/>
      <w:lvlJc w:val="left"/>
      <w:pPr>
        <w:ind w:hanging="360" w:left="3950"/>
      </w:pPr>
      <w:rPr/>
    </w:lvl>
    <w:lvl w:ilvl="5" w:tplc="0422001B">
      <w:start w:val="1"/>
      <w:numFmt w:val="lowerRoman"/>
      <w:suff w:val="tab"/>
      <w:lvlText w:val="%6."/>
      <w:lvlJc w:val="right"/>
      <w:pPr>
        <w:ind w:hanging="180" w:left="4670"/>
      </w:pPr>
      <w:rPr/>
    </w:lvl>
    <w:lvl w:ilvl="6" w:tplc="0422000F">
      <w:start w:val="1"/>
      <w:numFmt w:val="decimal"/>
      <w:suff w:val="tab"/>
      <w:lvlText w:val="%7."/>
      <w:lvlJc w:val="left"/>
      <w:pPr>
        <w:ind w:hanging="360" w:left="5390"/>
      </w:pPr>
      <w:rPr/>
    </w:lvl>
    <w:lvl w:ilvl="7" w:tplc="04220019">
      <w:start w:val="1"/>
      <w:numFmt w:val="lowerLetter"/>
      <w:suff w:val="tab"/>
      <w:lvlText w:val="%8."/>
      <w:lvlJc w:val="left"/>
      <w:pPr>
        <w:ind w:hanging="360" w:left="6110"/>
      </w:pPr>
      <w:rPr/>
    </w:lvl>
    <w:lvl w:ilvl="8" w:tplc="0422001B">
      <w:start w:val="1"/>
      <w:numFmt w:val="lowerRoman"/>
      <w:suff w:val="tab"/>
      <w:lvlText w:val="%9."/>
      <w:lvlJc w:val="right"/>
      <w:pPr>
        <w:ind w:hanging="180" w:left="6830"/>
      </w:pPr>
      <w:rPr/>
    </w:lvl>
  </w:abstractNum>
  <w:abstractNum w:abstractNumId="5">
    <w:nsid w:val="36F76EB4"/>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6">
    <w:nsid w:val="3A9D537D"/>
    <w:multiLevelType w:val="hybridMultilevel"/>
    <w:lvl w:ilvl="0" w:tplc="8668C4F8">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7">
    <w:nsid w:val="44093D00"/>
    <w:multiLevelType w:val="hybridMultilevel"/>
    <w:lvl w:ilvl="0" w:tplc="FB64E494">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8">
    <w:nsid w:val="464878A7"/>
    <w:multiLevelType w:val="hybridMultilevel"/>
    <w:lvl w:ilvl="0" w:tplc="8668C4F8">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9">
    <w:nsid w:val="4A933D79"/>
    <w:multiLevelType w:val="hybridMultilevel"/>
    <w:lvl w:ilvl="0" w:tplc="C53C3016">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0">
    <w:nsid w:val="4B541A41"/>
    <w:multiLevelType w:val="hybridMultilevel"/>
    <w:lvl w:ilvl="0" w:tplc="8668C4F8">
      <w:start w:val="1"/>
      <w:numFmt w:val="decimal"/>
      <w:suff w:val="space"/>
      <w:lvlText w:val="%1."/>
      <w:lvlJc w:val="left"/>
      <w:pPr>
        <w:ind w:hanging="360" w:left="720"/>
      </w:pPr>
      <w:rPr>
        <w:b w:val="0"/>
      </w:rPr>
    </w:lvl>
    <w:lvl w:ilvl="1" w:tplc="45DC9368">
      <w:start w:val="1"/>
      <w:numFmt w:val="lowerLetter"/>
      <w:suff w:val="space"/>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1">
    <w:nsid w:val="53C86A16"/>
    <w:multiLevelType w:val="hybridMultilevel"/>
    <w:lvl w:ilvl="0" w:tplc="8668C4F8">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2">
    <w:nsid w:val="56B22F73"/>
    <w:multiLevelType w:val="hybridMultilevel"/>
    <w:lvl w:ilvl="0" w:tplc="7DF8FA72">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3">
    <w:nsid w:val="65E558A1"/>
    <w:multiLevelType w:val="hybridMultilevel"/>
    <w:lvl w:ilvl="0" w:tplc="925EAB54">
      <w:start w:val="1"/>
      <w:numFmt w:val="decimal"/>
      <w:suff w:val="space"/>
      <w:lvlText w:val="%1."/>
      <w:lvlJc w:val="left"/>
      <w:pPr>
        <w:ind w:hanging="360" w:left="720"/>
      </w:pPr>
      <w:rPr>
        <w:color w:val="auto"/>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4">
    <w:nsid w:val="74455C82"/>
    <w:multiLevelType w:val="hybridMultilevel"/>
    <w:lvl w:ilvl="0" w:tplc="FF0C3076">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num w:numId="1">
    <w:abstractNumId w:val="5"/>
  </w:num>
  <w:num w:numId="2">
    <w:abstractNumId w:val="2"/>
  </w:num>
  <w:num w:numId="3">
    <w:abstractNumId w:val="4"/>
  </w:num>
  <w:num w:numId="4">
    <w:abstractNumId w:val="12"/>
  </w:num>
  <w:num w:numId="5">
    <w:abstractNumId w:val="7"/>
  </w:num>
  <w:num w:numId="6">
    <w:abstractNumId w:val="9"/>
  </w:num>
  <w:num w:numId="7">
    <w:abstractNumId w:val="1"/>
  </w:num>
  <w:num w:numId="8">
    <w:abstractNumId w:val="8"/>
  </w:num>
  <w:num w:numId="9">
    <w:abstractNumId w:val="6"/>
  </w:num>
  <w:num w:numId="10">
    <w:abstractNumId w:val="11"/>
  </w:num>
  <w:num w:numId="11">
    <w:abstractNumId w:val="10"/>
  </w:num>
  <w:num w:numId="12">
    <w:abstractNumId w:val="13"/>
  </w:num>
  <w:num w:numId="13">
    <w:abstractNumId w:val="3"/>
  </w:num>
  <w:num w:numId="14">
    <w:abstractNumId w:val="14"/>
  </w:num>
  <w:num w:numId="15">
    <w:abstractNumId w:val="0"/>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4"/>
    <w:pPr>
      <w:tabs>
        <w:tab w:val="center" w:pos="4819" w:leader="none"/>
        <w:tab w:val="right" w:pos="9639" w:leader="none"/>
      </w:tabs>
      <w:spacing w:lineRule="auto" w:line="240" w:after="0" w:beforeAutospacing="0" w:afterAutospacing="0"/>
    </w:pPr>
    <w:rPr/>
  </w:style>
  <w:style w:type="paragraph" w:styleId="P2">
    <w:name w:val="footer"/>
    <w:basedOn w:val="P0"/>
    <w:link w:val="C5"/>
    <w:pPr>
      <w:tabs>
        <w:tab w:val="center" w:pos="4819" w:leader="none"/>
        <w:tab w:val="right" w:pos="9639"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footnote text"/>
    <w:link w:val="C7"/>
    <w:semiHidden/>
    <w:pPr>
      <w:spacing w:lineRule="auto" w:line="240" w:after="0" w:beforeAutospacing="0" w:afterAutospacing="0"/>
    </w:pPr>
    <w:rPr>
      <w:sz w:val="20"/>
      <w:szCs w:val="20"/>
    </w:rPr>
  </w:style>
  <w:style w:type="paragraph" w:styleId="P5">
    <w:name w:val="endnote text"/>
    <w:link w:val="C9"/>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footnote reference"/>
    <w:semiHidden/>
    <w:rPr>
      <w:vertAlign w:val="superscript"/>
    </w:rPr>
  </w:style>
  <w:style w:type="character" w:styleId="C7">
    <w:name w:val="Текст сноски Знак"/>
    <w:link w:val="P4"/>
    <w:semiHidden/>
    <w:rPr>
      <w:sz w:val="20"/>
      <w:szCs w:val="20"/>
    </w:rPr>
  </w:style>
  <w:style w:type="character" w:styleId="C8">
    <w:name w:val="endnote reference"/>
    <w:semiHidden/>
    <w:rPr>
      <w:vertAlign w:val="superscript"/>
    </w:rPr>
  </w:style>
  <w:style w:type="character" w:styleId="C9">
    <w:name w:val="Текст концевой сноски Знак"/>
    <w:link w:val="P5"/>
    <w:semiHidden/>
    <w:rPr>
      <w:sz w:val="20"/>
      <w:szCs w:val="20"/>
    </w:rPr>
  </w:style>
  <w:style w:type="character" w:styleId="C10">
    <w:name w:val="Footnote Text Char"/>
    <w:semiHidden/>
    <w:rPr>
      <w:sz w:val="20"/>
      <w:szCs w:val="20"/>
    </w:rPr>
  </w:style>
  <w:style w:type="character" w:styleId="C11">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a065-09c9-446a-b028-79067a626383}">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Слободянюк Ірина Богданівна</dc:creator>
  <dcterms:created xsi:type="dcterms:W3CDTF">2021-12-07T08:28:00Z</dcterms:created>
  <cp:lastModifiedBy>pool-iis</cp:lastModifiedBy>
  <dcterms:modified xsi:type="dcterms:W3CDTF">2021-12-07T11:14:31Z</dcterms:modified>
  <cp:revision>3</cp:revision>
</cp:coreProperties>
</file>