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2016" w14:textId="3055901C" w:rsidR="001A3F1E" w:rsidRDefault="00FC77D6" w:rsidP="001A3F1E">
      <w:pPr>
        <w:shd w:val="clear" w:color="auto" w:fill="FFFFFF"/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ОГОЛОШЕННЯ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 укладення договорів про медичне обслуговування населення за програмою медичних гарантій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 надання медичних послуг «Медична допомога при гострому мозковому інсульті в стаціонарних умовах» </w:t>
      </w:r>
    </w:p>
    <w:p w14:paraId="00000001" w14:textId="01B4C242" w:rsidR="00DB0878" w:rsidRDefault="00FC77D6" w:rsidP="001A3F1E">
      <w:pPr>
        <w:shd w:val="clear" w:color="auto" w:fill="FFFFFF"/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 </w:t>
      </w:r>
      <w:r w:rsidR="00B10DC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F124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8B1C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3F3A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1A3F1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року </w:t>
      </w:r>
    </w:p>
    <w:p w14:paraId="00000002" w14:textId="77777777" w:rsidR="00DB0878" w:rsidRDefault="00DB0878" w:rsidP="001A3F1E">
      <w:pPr>
        <w:shd w:val="clear" w:color="auto" w:fill="FFFFFF"/>
        <w:spacing w:line="240" w:lineRule="auto"/>
        <w:ind w:right="-7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DB0878" w:rsidRDefault="00FC77D6" w:rsidP="001A3F1E">
      <w:pPr>
        <w:spacing w:line="256" w:lineRule="auto"/>
        <w:ind w:right="-7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Подання пропозицій та їх розгляд</w:t>
      </w:r>
    </w:p>
    <w:p w14:paraId="00000004" w14:textId="0F2846DC" w:rsidR="00DB0878" w:rsidRPr="00EC0BC5" w:rsidRDefault="00F124E3" w:rsidP="003F3A3E">
      <w:pPr>
        <w:pStyle w:val="a5"/>
        <w:numPr>
          <w:ilvl w:val="0"/>
          <w:numId w:val="9"/>
        </w:numPr>
        <w:spacing w:line="256" w:lineRule="auto"/>
        <w:ind w:left="0" w:right="-75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7D8">
        <w:rPr>
          <w:rFonts w:ascii="Times New Roman" w:eastAsia="Times New Roman" w:hAnsi="Times New Roman" w:cs="Times New Roman"/>
          <w:sz w:val="24"/>
          <w:szCs w:val="24"/>
        </w:rPr>
        <w:t xml:space="preserve">Строк подання пропозиції спливає </w:t>
      </w:r>
      <w:r w:rsidRPr="004E57D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3339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A7333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годині 30 хвилин за київським часом 16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квітня</w:t>
      </w:r>
      <w:r w:rsidRPr="004E57D8">
        <w:rPr>
          <w:rFonts w:ascii="Times New Roman" w:eastAsia="Times New Roman" w:hAnsi="Times New Roman" w:cs="Times New Roman"/>
          <w:b/>
          <w:sz w:val="24"/>
          <w:szCs w:val="24"/>
        </w:rPr>
        <w:t xml:space="preserve"> 2020 року</w:t>
      </w:r>
      <w:r w:rsidR="00FC77D6" w:rsidRPr="00EC0B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5" w14:textId="77777777" w:rsidR="00DB0878" w:rsidRDefault="00FC77D6" w:rsidP="001A3F1E">
      <w:pPr>
        <w:spacing w:line="256" w:lineRule="auto"/>
        <w:ind w:right="-752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Пропозиції на укладення договору, у тому числі з усунутими недоліками (повторні), подані після закінчення строку подання, не розглядаються.</w:t>
      </w:r>
    </w:p>
    <w:p w14:paraId="00000006" w14:textId="77777777" w:rsidR="00DB0878" w:rsidRDefault="00FC77D6" w:rsidP="001A3F1E">
      <w:pPr>
        <w:spacing w:line="256" w:lineRule="auto"/>
        <w:ind w:right="-752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Якщо суб’єкту господарювання надіслано повідомлення про виправлення помилок у його пропозиції після граничної дати подання пропозицій, суб’єкт господарювання має право подати оновлену пропозицію протягом двох робочих днів з дня надіслання НСЗУ повідомлення про виправлення помилок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7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Заявник подає до НСЗУ пропозицію (заяву та додатки до неї) в електронній формі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шляхом заповнення електронних полів.</w:t>
      </w:r>
    </w:p>
    <w:p w14:paraId="00000008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Суб’єкт господарювання, який бажає укласти договір з НСЗУ на визначених в оголошенні умовах, до подання пропозиції повинен забезпечити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про:</w:t>
      </w:r>
    </w:p>
    <w:p w14:paraId="00000009" w14:textId="77777777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суб’єкт господарювання, місця надання ним медичних послуг та медичне обладнання, зазначене в оголошенні;</w:t>
      </w:r>
    </w:p>
    <w:p w14:paraId="0000000A" w14:textId="7DAC81BB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ліцензію на провадження господарської діяльності з медичної практики (дата, </w:t>
      </w:r>
      <w:r w:rsidR="001A3F1E">
        <w:rPr>
          <w:rFonts w:ascii="Times New Roman" w:eastAsia="Times New Roman" w:hAnsi="Times New Roman" w:cs="Times New Roman"/>
          <w:sz w:val="24"/>
          <w:szCs w:val="24"/>
          <w:lang w:val="uk-UA"/>
        </w:rPr>
        <w:t>строк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дії, номер наказу, номер ліцензії та вид господарської діяльності, на право здійснення якого видано ліцензію)</w:t>
      </w:r>
    </w:p>
    <w:p w14:paraId="0000000B" w14:textId="77777777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суб’єкти господарювання, які будуть залучені до виконання договору (підрядники);</w:t>
      </w:r>
    </w:p>
    <w:p w14:paraId="0000000C" w14:textId="77777777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уповноважених осіб та медичних працівників, які будуть залучені до укладення або виконання договору.</w:t>
      </w:r>
    </w:p>
    <w:p w14:paraId="0000000D" w14:textId="77777777" w:rsidR="00DB0878" w:rsidRDefault="00FC77D6" w:rsidP="001A3F1E">
      <w:pPr>
        <w:shd w:val="clear" w:color="auto" w:fill="FFFFFF"/>
        <w:spacing w:line="240" w:lineRule="auto"/>
        <w:ind w:right="-752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разі коли після подання пропозиції зазначена інформація змінюється, суб’єкт господарювання повинен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у той же день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відповідні зміни до електронної системи охорони здоров’я.</w:t>
      </w:r>
    </w:p>
    <w:p w14:paraId="0000000E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 медичне обладнання, визначене в цьому Оголошенні, є обов’язковим за умови наявності відповідної технічної можливості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електронній системі охорони здоров’я.</w:t>
      </w:r>
    </w:p>
    <w:p w14:paraId="0000000F" w14:textId="4FA7C433" w:rsidR="00DB0878" w:rsidRDefault="00FC77D6" w:rsidP="001A3F1E">
      <w:pPr>
        <w:spacing w:line="256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НСЗУ розглядає пропозиції про укладення договору  до </w:t>
      </w:r>
      <w:r w:rsidR="00F803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7A2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  <w:bookmarkStart w:id="0" w:name="_GoBack"/>
      <w:bookmarkEnd w:id="0"/>
      <w:r w:rsidR="00F803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травн</w:t>
      </w:r>
      <w:r w:rsidR="003F3A3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2020 року включно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0" w14:textId="77777777" w:rsidR="00DB0878" w:rsidRDefault="00DB0878" w:rsidP="001A3F1E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DB0878" w:rsidRDefault="00FC77D6" w:rsidP="001A3F1E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Умови закупівлі медичних послуг, які будуть надаватись за Договором </w:t>
      </w:r>
    </w:p>
    <w:p w14:paraId="00000013" w14:textId="77777777" w:rsidR="00DB0878" w:rsidRPr="001A3F1E" w:rsidRDefault="00FC77D6" w:rsidP="001A3F1E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послуг.</w:t>
      </w:r>
    </w:p>
    <w:p w14:paraId="00000016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Умови надання послуги: стаціонарно.</w:t>
      </w:r>
    </w:p>
    <w:p w14:paraId="00000018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Підстави надання послуги:</w:t>
      </w:r>
    </w:p>
    <w:p w14:paraId="00000019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доставлення бригадою екстреної (швидкої) медичної допомоги;</w:t>
      </w:r>
    </w:p>
    <w:p w14:paraId="0000001A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направлення з іншого клінічного підрозділу закладу в разі перебування пацієнта на стаціонарному лікуванні;</w:t>
      </w:r>
    </w:p>
    <w:p w14:paraId="0000001B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самозвернення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у невідкладному стані.</w:t>
      </w:r>
    </w:p>
    <w:p w14:paraId="0000001D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пацієнтів із наступними діагнозами:</w:t>
      </w:r>
    </w:p>
    <w:p w14:paraId="0000001E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lastRenderedPageBreak/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І60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Субарахноїдальний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крововилив;</w:t>
      </w:r>
    </w:p>
    <w:p w14:paraId="0000001F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І61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Внутрішньомозковий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крововилив;</w:t>
      </w:r>
    </w:p>
    <w:p w14:paraId="00000020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І62 Інший нетравматичний внутрішньочерепний крововилив;</w:t>
      </w:r>
    </w:p>
    <w:p w14:paraId="00000021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I63 Інфаркт головного мозку;</w:t>
      </w:r>
    </w:p>
    <w:p w14:paraId="00000022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І64 Інсульт, не уточнений як крововилив чи інфаркт;</w:t>
      </w:r>
    </w:p>
    <w:p w14:paraId="00000023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I67.6 Негнійний тромбоз внутрішньочерепного венозного синуса; </w:t>
      </w:r>
    </w:p>
    <w:p w14:paraId="00000024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Noto Sans Symbols" w:eastAsia="Noto Sans Symbols" w:hAnsi="Noto Sans Symbols" w:cs="Noto Sans Symbols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G45 Минущі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транзиторні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церебральні ішемічні стани [атаки] та пов’язані з ними синдроми.</w:t>
      </w:r>
    </w:p>
    <w:p w14:paraId="00000026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Вимоги до організації надання послуги:</w:t>
      </w:r>
    </w:p>
    <w:p w14:paraId="00000027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Наявність неврологічного / нейрохірургічного відділення або неврологічних / нейрохірургічних ліжок (не менше 4 обладнаних ліжок).</w:t>
      </w:r>
    </w:p>
    <w:p w14:paraId="00000028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Наявність відділення анестезіології та інтенсивної терапії або палати інтенсивної терапії (не менше 4 обладнаних ліжок для інтенсивної терапії).</w:t>
      </w:r>
    </w:p>
    <w:p w14:paraId="00000029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Наявність приймального відділення з можливістю проведення первинного огляду / місце проведення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тромболізису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>, в якому може бути забезпечений повноцінний первинний огляд за алгоритмом АВСD, зокрема безперервний моніторинг сатурації крові киснем (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пульсоксиметрія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>), АТ (в автоматичному режимі), ЕКГ, а також забезпечення прохідності дихальних шляхів (відповідно до сучасних принципів), безперервна інгаляція кисню тощо.</w:t>
      </w:r>
    </w:p>
    <w:p w14:paraId="0000002A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Забезпечення можливості цілодобового проведення наступних лабораторних досліджень: розгорнутий клінічний аналіз крові з підрахунком числа тромбоцитів, біохімічний аналіз крові (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аспартатамінотрансфераза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аланінамінотрансфераза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), креатинін, сечовина, натрій, калій,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тропонін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), глюкоза в цільній крові або сироватці крові,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коагуляційний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гемостаз (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тромбіновий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час, активований частковий (парціальний)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тромбопластиновий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час (АЧТЧ, АПТЧ), міжнародне нормалізоване відношення (МНВ).</w:t>
      </w:r>
    </w:p>
    <w:p w14:paraId="0000002B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консультації </w:t>
      </w: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лікаря з фізичної та реабілітаційної медицини та/або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фізичного терапевта та/або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ерготерапевта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у перші 48 годин після госпіталізації та проведення заходів з медичної реабілітації при потребі.</w:t>
      </w:r>
    </w:p>
    <w:p w14:paraId="0000002C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переводу пацієнтів до закладу вищого рівня, якщо лікарня не може надати необхідну допомогу (наприклад, з метою проведення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ендоваскулярних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втручань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2D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Забезпечення можливості проведення консультації лікаря-невропатолога, лікаря-кардіолога, лікаря-нейрохірурга, лікаря-уролога, лікаря-хірурга, лікаря-ендокринолога, лікаря-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ендоскопіста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: ургентної – протягом 3 годин. </w:t>
      </w:r>
    </w:p>
    <w:p w14:paraId="0000002E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Координація надання допомоги пацієнтам з гострим мозковим інсультом закладами первинної, вторинної, третинної медичної допомоги та службою екстреної медичної допомоги.</w:t>
      </w:r>
    </w:p>
    <w:p w14:paraId="0000002F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Наявність системи попереднього інформування закладу охорони здоров’я про наближення пацієнта з гострим мозковим інсультом для активації ресурсів закладу охорони здоров’я з метою забезпечення можливості проведення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реваскуляризаційної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терапії в межах «терапевтичного вікна».</w:t>
      </w:r>
    </w:p>
    <w:p w14:paraId="00000030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Забезпечення компонентами крові.</w:t>
      </w:r>
    </w:p>
    <w:p w14:paraId="00000031" w14:textId="77777777" w:rsidR="00DB0878" w:rsidRPr="001A3F1E" w:rsidRDefault="00FC77D6" w:rsidP="001A3F1E">
      <w:pPr>
        <w:numPr>
          <w:ilvl w:val="0"/>
          <w:numId w:val="5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спеціального навчання всіх співробітників, які залучені до надання медичної допомоги при гострому мозковому інсульті (лікарі, середній та молодший медичний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персонал), на тренінгах з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тромболітичної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терапії, інтенсивної терапії, використання шкал (NIHSS, ASPECTS,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mRS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), скринінгу щодо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дисфагії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>, оцінювання потреби у реабілітації).</w:t>
      </w:r>
    </w:p>
    <w:p w14:paraId="00000032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3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Вимоги до спеціалізації та кількості фахівців:</w:t>
      </w:r>
    </w:p>
    <w:p w14:paraId="00000034" w14:textId="77777777" w:rsidR="00DB0878" w:rsidRPr="001A3F1E" w:rsidRDefault="00FC77D6" w:rsidP="001A3F1E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Лікар-невропатолог та/або лікар-невропатолог дитячий та/або лікар-нейрохірург та/або лікар-нейрохірург дитячий, який має відповідну підготовку з надання медичної допомоги при гострому мозковому інсульті –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щонайменше 4 особи, які працюють за основним місцем роботи в цьому закладі </w:t>
      </w: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>(цілодобовий пост).</w:t>
      </w:r>
    </w:p>
    <w:p w14:paraId="00000035" w14:textId="77777777" w:rsidR="00DB0878" w:rsidRPr="001A3F1E" w:rsidRDefault="00FC77D6" w:rsidP="001A3F1E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Лікар-анестезіолог – щонайменше 4 особи, які працюють за основним місцем роботи в цьому закладі (цілодобовий пост).</w:t>
      </w:r>
    </w:p>
    <w:p w14:paraId="00000036" w14:textId="77777777" w:rsidR="00DB0878" w:rsidRPr="001A3F1E" w:rsidRDefault="00FC77D6" w:rsidP="001A3F1E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Лікар з фізичної та реабілітаційної медицини та/або фізичний терапевт та/або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>ерготерапевт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та/або лікар з лікувальної фізкультури та/або лікар з лікувальної фізкультури і спортивної медицини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– щонайменше одна особа.</w:t>
      </w:r>
    </w:p>
    <w:p w14:paraId="00000037" w14:textId="77777777" w:rsidR="00DB0878" w:rsidRPr="001A3F1E" w:rsidRDefault="00FC77D6" w:rsidP="001A3F1E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Сестра медична – щонайменше 4 особи, які працюють за основним місцем роботи в цьому закладі (цілодобовий пост).</w:t>
      </w:r>
    </w:p>
    <w:p w14:paraId="00000038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9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Вимоги до переліку обладнання:</w:t>
      </w:r>
    </w:p>
    <w:p w14:paraId="0000003A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У закладі:</w:t>
      </w:r>
    </w:p>
    <w:p w14:paraId="0000003B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наркозний апарат/станція;</w:t>
      </w:r>
    </w:p>
    <w:p w14:paraId="0000003C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апарат ШВЛ;</w:t>
      </w:r>
    </w:p>
    <w:p w14:paraId="0000003D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ларингоскоп,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ендотрахеальні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інтубаційні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>) трубки;</w:t>
      </w:r>
    </w:p>
    <w:p w14:paraId="0000003E" w14:textId="77777777" w:rsidR="00DB0878" w:rsidRPr="001A3F1E" w:rsidRDefault="00FC77D6" w:rsidP="001A3F1E">
      <w:pPr>
        <w:numPr>
          <w:ilvl w:val="0"/>
          <w:numId w:val="7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 місцем надання послуг:</w:t>
      </w:r>
    </w:p>
    <w:p w14:paraId="0000003F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спіральний комп’ютерний томограф (СКТ), який працює в цілодобовому режимі, та/або магнітно-резонансний томограф (МРТ) з режимами визначення </w:t>
      </w:r>
      <w:proofErr w:type="spellStart"/>
      <w:r w:rsidRPr="001A3F1E">
        <w:rPr>
          <w:rFonts w:ascii="Times New Roman" w:eastAsia="Times New Roman" w:hAnsi="Times New Roman" w:cs="Times New Roman"/>
          <w:sz w:val="24"/>
          <w:szCs w:val="24"/>
        </w:rPr>
        <w:t>геморагії</w:t>
      </w:r>
      <w:proofErr w:type="spellEnd"/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 (T2*/GRE/SWI), який працює в цілодобовому режимі;</w:t>
      </w:r>
    </w:p>
    <w:p w14:paraId="00000040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функціональні ліжка – щонайменше 4;</w:t>
      </w:r>
    </w:p>
    <w:p w14:paraId="00000041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електрокардіограф багатоканальний;</w:t>
      </w:r>
    </w:p>
    <w:p w14:paraId="00000042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монітор пацієнта (ЧСС, ЕКГ, АТ, SpO2) – щонайменше 4;</w:t>
      </w:r>
    </w:p>
    <w:p w14:paraId="00000043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автоматичний дозатор лікувальних речовин – щонайменше 4;</w:t>
      </w:r>
    </w:p>
    <w:p w14:paraId="00000044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1A3F1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система централізованого постачання кисню  або кисневий концентратор, здатний забезпечувати необхідний потік та тиск кисню в системі для роботи апарата ШВЛ.</w:t>
      </w:r>
    </w:p>
    <w:p w14:paraId="00000045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46" w14:textId="77777777" w:rsidR="00DB0878" w:rsidRPr="001A3F1E" w:rsidRDefault="00FC77D6" w:rsidP="001A3F1E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sz w:val="24"/>
          <w:szCs w:val="24"/>
        </w:rPr>
        <w:t>Інші вимоги:</w:t>
      </w:r>
    </w:p>
    <w:p w14:paraId="00000047" w14:textId="77777777" w:rsidR="00DB0878" w:rsidRPr="001A3F1E" w:rsidRDefault="00FC77D6" w:rsidP="001A3F1E">
      <w:pPr>
        <w:numPr>
          <w:ilvl w:val="0"/>
          <w:numId w:val="4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Наявність ліцензії </w:t>
      </w: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>на провадження діяльності з обігу наркотичних речовин та прекурсорів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8" w14:textId="77777777" w:rsidR="00DB0878" w:rsidRPr="001A3F1E" w:rsidRDefault="00FC77D6" w:rsidP="001A3F1E">
      <w:pPr>
        <w:numPr>
          <w:ilvl w:val="0"/>
          <w:numId w:val="4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програми з інфекційного контролю та дотримання заходів із запобігання інфекціям, пов’язаним з наданням медичної допомоги, відповідно до діючих наказів МОЗ України.</w:t>
      </w:r>
    </w:p>
    <w:p w14:paraId="00000049" w14:textId="77777777" w:rsidR="00DB0878" w:rsidRPr="001A3F1E" w:rsidRDefault="00FC77D6" w:rsidP="001A3F1E">
      <w:pPr>
        <w:numPr>
          <w:ilvl w:val="0"/>
          <w:numId w:val="4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 xml:space="preserve">Подання даних до </w:t>
      </w:r>
      <w:r w:rsidRPr="001A3F1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електронної системи охорони здоров'я </w:t>
      </w:r>
      <w:r w:rsidRPr="001A3F1E">
        <w:rPr>
          <w:rFonts w:ascii="Times New Roman" w:eastAsia="Times New Roman" w:hAnsi="Times New Roman" w:cs="Times New Roman"/>
          <w:sz w:val="24"/>
          <w:szCs w:val="24"/>
        </w:rPr>
        <w:t>на постійній основі.</w:t>
      </w:r>
    </w:p>
    <w:p w14:paraId="0000004A" w14:textId="77777777" w:rsidR="00DB0878" w:rsidRPr="001A3F1E" w:rsidRDefault="00FC77D6" w:rsidP="001A3F1E">
      <w:pPr>
        <w:numPr>
          <w:ilvl w:val="0"/>
          <w:numId w:val="4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sz w:val="24"/>
          <w:szCs w:val="24"/>
        </w:rPr>
        <w:t>Забезпечення права пацієнта, який перебуває на лікуванні у відділенні інтенсивної терапії, на допуск до нього відвідувачів 24 години на добу в будь-який день тижня згідно з правилами, визначеними у наказі МОЗ України від 15.06.2016  № 592 «Порядок допуску відвідувачів до пацієнтів, які перебувають на стаціонарному лікуванні у відділенні інтенсивної терапії».</w:t>
      </w:r>
    </w:p>
    <w:p w14:paraId="0000004C" w14:textId="77777777" w:rsidR="00DB0878" w:rsidRDefault="00FC77D6" w:rsidP="001A3F1E">
      <w:pPr>
        <w:ind w:right="-752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Опис медичних послуг, які будуть надаватися за Договором (Специфікація) </w:t>
      </w:r>
    </w:p>
    <w:p w14:paraId="0000004E" w14:textId="77777777" w:rsidR="00DB0878" w:rsidRDefault="00FC77D6" w:rsidP="001A3F1E">
      <w:pPr>
        <w:ind w:right="-7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наступний обсяг послуги (специфікація) відповідно до потреб пацієнта:</w:t>
      </w:r>
    </w:p>
    <w:p w14:paraId="0000004F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первинного огляду пацієнта.</w:t>
      </w:r>
    </w:p>
    <w:p w14:paraId="00000050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нейровізуалізації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всім пацієнтам з підозрою на гострий мозковий інсульт (протягом 60 хвилин з моменту звернення пацієнта в заклад або доставлення його бригадою екстреної (швидкої) медичної допомоги).</w:t>
      </w:r>
    </w:p>
    <w:p w14:paraId="00000051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Анестезіологічний супровід пацієнта для проведення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нейровізуалізації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2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Проведення системної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тромболітичної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терапії (при ішемічному інсульті), включаючи забезпечення необхідних лікарських засобів.</w:t>
      </w:r>
    </w:p>
    <w:p w14:paraId="00000053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Застосування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ендоваскулярних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методів лікування (у разі наявності відповідного обладнання у закладі).</w:t>
      </w:r>
    </w:p>
    <w:p w14:paraId="00000054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нейрохірургічної допомоги (при наявності відповідного обладнання у закладі).</w:t>
      </w:r>
    </w:p>
    <w:p w14:paraId="00000055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Моніторинг клінічних, біохімічних показників, рівня електролітів, лабораторних показників системи гемостазу, ЕКГ.</w:t>
      </w:r>
    </w:p>
    <w:p w14:paraId="00000056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знеболення та медикаментозної терапії.</w:t>
      </w:r>
    </w:p>
    <w:p w14:paraId="00000057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Проведення та документування скринінгу щодо порушень ковтання у всіх пацієнтів до початку годування чи прийому ліків через рот (не пізніше 24 годин після госпіталізації) з забороною годування чи прийому ліків через рот у разі ознак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дисфагії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8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консультації логопеда (терапевта мови та мовлення) у перші 48 годин після госпіталізації.</w:t>
      </w:r>
    </w:p>
    <w:p w14:paraId="00000059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заходів із вторинної профілактики захворювання.</w:t>
      </w:r>
    </w:p>
    <w:p w14:paraId="0000005A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Надання послуг з медичної реабілітації в гострому періоді та переведення пацієнтів до відділення (центру) реабілітації для надання послуг з медичної реабілітації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підгострому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відновному періоді.</w:t>
      </w:r>
    </w:p>
    <w:p w14:paraId="0000005B" w14:textId="77777777" w:rsidR="00DB0878" w:rsidRDefault="00FC77D6" w:rsidP="001A3F1E">
      <w:pPr>
        <w:numPr>
          <w:ilvl w:val="0"/>
          <w:numId w:val="6"/>
        </w:numPr>
        <w:ind w:left="0"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Розроблення та організація окремого заняття для родини / доглядачів з наступних питань: методи особистої гігієни, стратегії спілкування, техніки переміщення, профілактики ускладнень та інших специфічних проблем пов’язаних з гострим мозковим інсультом, контроль за безпечним ковтанням та відповідної зміни дієти, допомоги регулювання поведінки при психосоціальних проблемах.</w:t>
      </w:r>
    </w:p>
    <w:p w14:paraId="0000005E" w14:textId="77777777" w:rsidR="00DB0878" w:rsidRDefault="00DB0878" w:rsidP="001A3F1E">
      <w:pPr>
        <w:spacing w:line="256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17B064C4" w:rsidR="00DB0878" w:rsidRDefault="00FC77D6" w:rsidP="001A3F1E">
      <w:pPr>
        <w:spacing w:line="256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Суб'єкт господарювання, який бажає укласти Договір з НСЗУ, повинен відповідати Вимогам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населення, затвердженим постановою Кабінету Міністрів України від 28 березня 2018 року №</w:t>
      </w:r>
      <w:r w:rsidR="00AB7C5B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391.</w:t>
      </w:r>
    </w:p>
    <w:p w14:paraId="00000062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C09E6" w14:textId="446470B4" w:rsidR="001A3F1E" w:rsidRDefault="00FC77D6" w:rsidP="001A3F1E">
      <w:pPr>
        <w:shd w:val="clear" w:color="auto" w:fill="FFFFFF"/>
        <w:spacing w:line="240" w:lineRule="auto"/>
        <w:ind w:right="-752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Подати пропозицію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«Медична допомога при гострому мозковому інсульті в стаціонарних умовах», </w:t>
      </w:r>
      <w:r w:rsidR="001A3F1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перейшовши за цим посиланням</w:t>
      </w:r>
    </w:p>
    <w:p w14:paraId="00000063" w14:textId="2FD8218E" w:rsidR="00DB0878" w:rsidRDefault="007A2D4C" w:rsidP="001A3F1E">
      <w:pPr>
        <w:shd w:val="clear" w:color="auto" w:fill="FFFFFF"/>
        <w:spacing w:line="240" w:lineRule="auto"/>
        <w:ind w:right="-752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hyperlink r:id="rId5">
        <w:r w:rsidR="00FC77D6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https://smarttender.biz/</w:t>
        </w:r>
      </w:hyperlink>
    </w:p>
    <w:p w14:paraId="00000065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 час заповнення заяви необхідно:</w:t>
      </w:r>
    </w:p>
    <w:p w14:paraId="00000066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-  зазначити інформацію про підставу, відповідно до якої діє підписант договору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юридичних осіб автоматично зазначається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«діє на підставі Статуту»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фізичних осіб-підприємців - необхідно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вказати номер  та дату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запису в Єдиному державному реєстрі юридичних осіб, фізичних осіб-підприємців та громадських формувань)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0000067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обрати місця надання послуг, які будуть включені до договору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0000068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 статистичні дані за формою звітності № 20, затвердженою наказом МОЗ від 10.07.2007 № 378, за 2018 рік;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0000069" w14:textId="77777777" w:rsidR="00DB0878" w:rsidRDefault="00FC77D6" w:rsidP="001A3F1E">
      <w:pPr>
        <w:shd w:val="clear" w:color="auto" w:fill="FFFFFF"/>
        <w:spacing w:line="240" w:lineRule="auto"/>
        <w:ind w:right="-75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(суб’єкт господарювання, який було утворено в результаті злиття декількох закладів охорони здоров’я, та суб’єкт господарювання до якого було приєднано один або декілька закладів охорони здоров’я, зазначає сумарні статистичні дані закладів охорони здоров’я, правонаступником яких є)</w:t>
      </w:r>
    </w:p>
    <w:p w14:paraId="0000006B" w14:textId="5C632FA9" w:rsidR="00DB0878" w:rsidRPr="00EC0BC5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банківські реквізити</w:t>
      </w:r>
      <w:r w:rsidR="00EC0B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суб'єкта господарювання (IBAN)</w:t>
      </w:r>
      <w:r w:rsidR="00EC0BC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;</w:t>
      </w:r>
    </w:p>
    <w:p w14:paraId="0000006C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інформацію про підрядників, які будуть залучені до виконання договору в частині надання медичних послуг відповідно до цього Оголошення, вид медичних послуг, для надання яких будуть залучені підрядники, номер, дату та строк дії договору  укладеного з підрядником.</w:t>
      </w:r>
    </w:p>
    <w:p w14:paraId="0000006D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помилка у банківських реквізитах може призвести до необхідності проходження повторної процедури укладення договору та, відповідно, до відтермінування оплати за надані послуги. Відповідальність за правильність банківських реквізитів, які автоматично будуть відображені у проекті договору, несе суб'єкт господарювання.</w:t>
      </w:r>
    </w:p>
    <w:p w14:paraId="0000006F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2F9EAEED" w:rsidR="00DB0878" w:rsidRDefault="00FC77D6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азом із заявою також необхідно подати додатки до неї, які слід прикріпити  у вигляді сканованих документів у форматі PDF (далі – пропозиція). </w:t>
      </w:r>
    </w:p>
    <w:p w14:paraId="00000071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2" w14:textId="77777777" w:rsidR="00DB0878" w:rsidRDefault="00DB0878" w:rsidP="001A3F1E">
      <w:pPr>
        <w:spacing w:line="256" w:lineRule="auto"/>
        <w:ind w:right="-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3" w14:textId="77777777" w:rsidR="00DB0878" w:rsidRDefault="00DB0878" w:rsidP="001A3F1E">
      <w:pPr>
        <w:spacing w:line="256" w:lineRule="auto"/>
        <w:ind w:right="-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4" w14:textId="77777777" w:rsidR="00DB0878" w:rsidRDefault="00FC77D6" w:rsidP="001A3F1E">
      <w:pPr>
        <w:ind w:right="-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додатків до пропозиції</w:t>
      </w:r>
    </w:p>
    <w:p w14:paraId="00000075" w14:textId="77777777" w:rsidR="00DB0878" w:rsidRDefault="00FC77D6" w:rsidP="001A3F1E">
      <w:pPr>
        <w:ind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в електронній формі документа, що підтверджує повноваження представника (у разі підписання заяви та доданих до неї документів представником суб’єкта господарювання, крім випадку, коли відомості про повноваження представника містяться в Єдиному державному реєстрі юридичних осіб, фізичних осіб - підприємців та громадських формувань).</w:t>
      </w:r>
    </w:p>
    <w:p w14:paraId="00000076" w14:textId="77777777" w:rsidR="00DB0878" w:rsidRDefault="00FC77D6" w:rsidP="001A3F1E">
      <w:pPr>
        <w:ind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чинної ліцензії на провадження господарської діяльності з медичної практики та сканована копія внесених змін, у разі їх наявності. Залежно від того, коли заклад отримав ліцензію, це може бути:</w:t>
      </w:r>
    </w:p>
    <w:p w14:paraId="00000077" w14:textId="77777777" w:rsidR="00DB0878" w:rsidRDefault="00FC77D6" w:rsidP="001A3F1E">
      <w:pPr>
        <w:numPr>
          <w:ilvl w:val="0"/>
          <w:numId w:val="8"/>
        </w:numPr>
        <w:ind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ліцензія на бланку, якщо документ отримано до 01 січня 2017 року;</w:t>
      </w:r>
    </w:p>
    <w:p w14:paraId="00000078" w14:textId="77777777" w:rsidR="00DB0878" w:rsidRDefault="00FC77D6" w:rsidP="001A3F1E">
      <w:pPr>
        <w:numPr>
          <w:ilvl w:val="0"/>
          <w:numId w:val="8"/>
        </w:numPr>
        <w:spacing w:after="200"/>
        <w:ind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витяг з наказу МОЗ, якщо ліцензію отримано після 01 січня 2017 року.</w:t>
      </w:r>
    </w:p>
    <w:p w14:paraId="00000079" w14:textId="77777777" w:rsidR="00DB0878" w:rsidRDefault="00DB0878" w:rsidP="001A3F1E">
      <w:pPr>
        <w:spacing w:after="200"/>
        <w:ind w:left="720" w:right="-75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A" w14:textId="4FED6CFD" w:rsidR="00DB0878" w:rsidRDefault="00FC77D6" w:rsidP="001A3F1E">
      <w:pPr>
        <w:spacing w:line="256" w:lineRule="auto"/>
        <w:ind w:right="-75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3F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Проект додатку до договору щодо спеціальних умов надання відповідних видів медичних </w:t>
      </w:r>
      <w:r w:rsidR="001A3F1E">
        <w:rPr>
          <w:rFonts w:ascii="Times New Roman" w:eastAsia="Times New Roman" w:hAnsi="Times New Roman" w:cs="Times New Roman"/>
          <w:b/>
          <w:i/>
          <w:sz w:val="24"/>
          <w:szCs w:val="24"/>
        </w:rPr>
        <w:t>послуг або груп медичних послуг</w:t>
      </w:r>
    </w:p>
    <w:p w14:paraId="627B042B" w14:textId="77777777" w:rsidR="001A3F1E" w:rsidRPr="001A3F1E" w:rsidRDefault="001A3F1E" w:rsidP="001A3F1E">
      <w:pPr>
        <w:spacing w:line="256" w:lineRule="auto"/>
        <w:ind w:right="-75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7E" w14:textId="77777777" w:rsidR="00DB0878" w:rsidRDefault="00FC77D6" w:rsidP="001A3F1E">
      <w:pPr>
        <w:spacing w:after="160"/>
        <w:ind w:right="-752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Протягом десяти календарних днів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дати підписання проекту договору уповноваженою особою НСЗУ керівник або уповноважена особа суб’єкта господарювання накладає електронний підпис на такий договір. Накладенням електронного підпису на договір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уповноважена особа суб’єкта господарювання підтверджує, що суб’єкт господарювання відповідає умовам закупівлі та спроможний надавати медичні послуги згідно із специфікацією.</w:t>
      </w:r>
    </w:p>
    <w:p w14:paraId="00000083" w14:textId="126A549D" w:rsidR="00DB0878" w:rsidRPr="00F46F7A" w:rsidRDefault="00FC77D6" w:rsidP="00F46F7A">
      <w:pPr>
        <w:spacing w:line="256" w:lineRule="auto"/>
        <w:ind w:right="-7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00000084" w14:textId="77777777" w:rsidR="00DB0878" w:rsidRDefault="00FC77D6" w:rsidP="001A3F1E">
      <w:pPr>
        <w:spacing w:line="256" w:lineRule="auto"/>
        <w:ind w:right="-752" w:firstLine="70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разі наявності будь-яких питань, які виникають під час заповнення заяви та/або подання пропозиції, звертайтеся на адресу електронної пошти: spetsdopomoga@nszu.gov.ua або на безкоштовну гарячу лінію 16-77, а також за телефонами Міжрегіональних департаментів НСЗУ: </w:t>
      </w:r>
    </w:p>
    <w:p w14:paraId="00000085" w14:textId="77CD689D" w:rsidR="00DB0878" w:rsidRDefault="00FC77D6" w:rsidP="001A3F1E">
      <w:pPr>
        <w:numPr>
          <w:ilvl w:val="0"/>
          <w:numId w:val="1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Центральний міжрегіональний департамент (м. Київ, Київська обл., Житомирська обл., Вінницька обл., Черкаська обл.) -  (044) 299 04 8</w:t>
      </w:r>
      <w:r w:rsidR="00EC0BC5">
        <w:rPr>
          <w:rFonts w:ascii="Times New Roman" w:eastAsia="Times New Roman" w:hAnsi="Times New Roman" w:cs="Times New Roman"/>
          <w:sz w:val="24"/>
          <w:szCs w:val="24"/>
        </w:rPr>
        <w:t>6, (044) 299 04 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6" w14:textId="77777777" w:rsidR="00DB0878" w:rsidRDefault="00FC77D6" w:rsidP="001A3F1E">
      <w:pPr>
        <w:numPr>
          <w:ilvl w:val="0"/>
          <w:numId w:val="1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Північний міжрегіональний департамент (Полтавська обл., Сумська обл., Харківська обл., Чернігівська обл.) -  (044) 299 04 96.</w:t>
      </w:r>
    </w:p>
    <w:p w14:paraId="00000087" w14:textId="77777777" w:rsidR="00DB0878" w:rsidRDefault="00FC77D6" w:rsidP="001A3F1E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Південний міжрегіональний департамент (Миколаївська обл., Одеська обл., Херсонська обл., Автономна Республіка Крим)  - (048) 753 13 86.</w:t>
      </w:r>
    </w:p>
    <w:p w14:paraId="00000088" w14:textId="77777777" w:rsidR="00DB0878" w:rsidRDefault="00FC77D6" w:rsidP="001A3F1E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Західний міжрегіональний департамент (Львівська обл., Тернопільська обл., Хмельницька обл., Чернівецька обл., Івано-Франківська обл., Закарпатська обл., Рівненська обл., Волинська обл.)  - (032) 259 30 18.</w:t>
      </w:r>
    </w:p>
    <w:p w14:paraId="00000089" w14:textId="77777777" w:rsidR="00DB0878" w:rsidRDefault="00FC77D6" w:rsidP="001A3F1E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Східний міжрегіональний департамент (Дніпропетровська обл., Донецька обл., Запорізька обл., Кіровоградська обл., Луганська обл.) - 098 041 13 45.</w:t>
      </w:r>
    </w:p>
    <w:p w14:paraId="0000008C" w14:textId="77777777" w:rsidR="00DB0878" w:rsidRDefault="00FC77D6" w:rsidP="001A3F1E">
      <w:pPr>
        <w:spacing w:line="256" w:lineRule="auto"/>
        <w:ind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D" w14:textId="77777777" w:rsidR="00DB0878" w:rsidRDefault="00FC77D6" w:rsidP="001A3F1E">
      <w:pPr>
        <w:spacing w:line="256" w:lineRule="auto"/>
        <w:ind w:right="-752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B0878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00000092" w14:textId="77777777" w:rsidR="00DB0878" w:rsidRDefault="00DB0878" w:rsidP="001A3F1E">
      <w:pPr>
        <w:shd w:val="clear" w:color="auto" w:fill="FFFFFF"/>
        <w:spacing w:line="240" w:lineRule="auto"/>
        <w:ind w:right="-7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DB0878" w:rsidRDefault="00DB0878" w:rsidP="001A3F1E">
      <w:pPr>
        <w:spacing w:line="256" w:lineRule="auto"/>
        <w:ind w:right="-752"/>
        <w:jc w:val="center"/>
      </w:pPr>
    </w:p>
    <w:sectPr w:rsidR="00DB0878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CB8"/>
    <w:multiLevelType w:val="hybridMultilevel"/>
    <w:tmpl w:val="21BEBE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50D7"/>
    <w:multiLevelType w:val="multilevel"/>
    <w:tmpl w:val="0CDEF87E"/>
    <w:lvl w:ilvl="0">
      <w:start w:val="1"/>
      <w:numFmt w:val="decimal"/>
      <w:lvlText w:val="%1."/>
      <w:lvlJc w:val="left"/>
      <w:pPr>
        <w:ind w:left="1440" w:hanging="731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19C4722"/>
    <w:multiLevelType w:val="multilevel"/>
    <w:tmpl w:val="6ACA50F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AA234D"/>
    <w:multiLevelType w:val="multilevel"/>
    <w:tmpl w:val="F752BD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9AB4A4F"/>
    <w:multiLevelType w:val="multilevel"/>
    <w:tmpl w:val="0B226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D61696"/>
    <w:multiLevelType w:val="multilevel"/>
    <w:tmpl w:val="44FC0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F46670"/>
    <w:multiLevelType w:val="multilevel"/>
    <w:tmpl w:val="2D301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DF69DF"/>
    <w:multiLevelType w:val="multilevel"/>
    <w:tmpl w:val="A51CD0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572E9D"/>
    <w:multiLevelType w:val="multilevel"/>
    <w:tmpl w:val="E53CE7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78"/>
    <w:rsid w:val="001A3F1E"/>
    <w:rsid w:val="001B7A44"/>
    <w:rsid w:val="00321DAD"/>
    <w:rsid w:val="003F3A3E"/>
    <w:rsid w:val="004C1EA4"/>
    <w:rsid w:val="00744F87"/>
    <w:rsid w:val="007A2D4C"/>
    <w:rsid w:val="007B69F5"/>
    <w:rsid w:val="008057FF"/>
    <w:rsid w:val="00864C6B"/>
    <w:rsid w:val="008B1C3E"/>
    <w:rsid w:val="00A23C91"/>
    <w:rsid w:val="00A73339"/>
    <w:rsid w:val="00AB7C5B"/>
    <w:rsid w:val="00B10DCF"/>
    <w:rsid w:val="00DB0878"/>
    <w:rsid w:val="00EC0BC5"/>
    <w:rsid w:val="00F124E3"/>
    <w:rsid w:val="00F46F7A"/>
    <w:rsid w:val="00F80344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8133"/>
  <w15:docId w15:val="{02677A93-7939-426A-A01A-009EB78D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arttender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9263</Words>
  <Characters>5280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Наталія Миколаївна</dc:creator>
  <cp:lastModifiedBy>Слободянюк Ірина Богданівна</cp:lastModifiedBy>
  <cp:revision>19</cp:revision>
  <dcterms:created xsi:type="dcterms:W3CDTF">2020-03-06T08:53:00Z</dcterms:created>
  <dcterms:modified xsi:type="dcterms:W3CDTF">2020-05-12T07:23:00Z</dcterms:modified>
</cp:coreProperties>
</file>