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ОГОЛОШЕННЯ </w:t>
        <w:br/>
        <w:t xml:space="preserve">про укладення договорів про медичне обслуговування населення за програмою медичних гарантій щодо  надання медичних послуг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Медична допомога при пологах</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від 10.02.2020 року </w:t>
      </w:r>
    </w:p>
    <w:p>
      <w:pPr>
        <w:spacing w:before="0" w:after="0" w:line="256"/>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5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Подання пропозицій та їх розгляд</w:t>
      </w:r>
    </w:p>
    <w:p>
      <w:pPr>
        <w:numPr>
          <w:ilvl w:val="0"/>
          <w:numId w:val="4"/>
        </w:numPr>
        <w:spacing w:before="0" w:after="0" w:line="25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подання пропозиції спливає </w:t>
      </w:r>
      <w:r>
        <w:rPr>
          <w:rFonts w:ascii="Times New Roman" w:hAnsi="Times New Roman" w:cs="Times New Roman" w:eastAsia="Times New Roman"/>
          <w:b/>
          <w:color w:val="auto"/>
          <w:spacing w:val="0"/>
          <w:position w:val="0"/>
          <w:sz w:val="24"/>
          <w:shd w:fill="auto" w:val="clear"/>
        </w:rPr>
        <w:t xml:space="preserve">о 18 годині 00 хвилин за київським часом 28 лютого 2020 року</w:t>
      </w: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Пропозиції на укладення договору, у тому числі з усунутими недоліками (повторні), подані після закінчення строку подання, не розглядаються.</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Заявник подає до НСЗУ пропозицію (заяву та додатки до неї) в електронній формі шляхом заповнення електронних полів.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 господарювання, який бажає укласти договір з НСЗУ на визначених в оголошенні умовах, до подання пропозиції повинен забезпечити внесення до електронної системи охорони здоров’я актуальної інформації про:</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суб’єкт господарювання, місця надання ним медичних послуг та медичне обладнання, зазначене в оголошенні;</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суб’єкти господарювання, які будуть залучені до виконання договору (підрядники);</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уповноважених осіб та медичних працівників, які будуть залучені до укладення або виконання договору.</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color w:val="auto"/>
          <w:spacing w:val="0"/>
          <w:position w:val="0"/>
          <w:sz w:val="24"/>
          <w:shd w:fill="FFFFFF" w:val="clear"/>
        </w:rPr>
        <w:t xml:space="preserve">У разі коли після подання пропозиції зазначена інформація змінюється, суб’єкт господарювання повинен </w:t>
      </w:r>
      <w:r>
        <w:rPr>
          <w:rFonts w:ascii="Times New Roman" w:hAnsi="Times New Roman" w:cs="Times New Roman" w:eastAsia="Times New Roman"/>
          <w:b/>
          <w:color w:val="auto"/>
          <w:spacing w:val="0"/>
          <w:position w:val="0"/>
          <w:sz w:val="24"/>
          <w:u w:val="single"/>
          <w:shd w:fill="FFFFFF" w:val="clear"/>
        </w:rPr>
        <w:t xml:space="preserve">у той же день</w:t>
      </w:r>
      <w:r>
        <w:rPr>
          <w:rFonts w:ascii="Times New Roman" w:hAnsi="Times New Roman" w:cs="Times New Roman" w:eastAsia="Times New Roman"/>
          <w:color w:val="auto"/>
          <w:spacing w:val="0"/>
          <w:position w:val="0"/>
          <w:sz w:val="24"/>
          <w:shd w:fill="FFFFFF" w:val="clear"/>
        </w:rPr>
        <w:t xml:space="preserve"> внести відповідні зміни до електронної системи охорони здоров’я.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Примітка:</w:t>
      </w:r>
      <w:r>
        <w:rPr>
          <w:rFonts w:ascii="Times New Roman" w:hAnsi="Times New Roman" w:cs="Times New Roman" w:eastAsia="Times New Roman"/>
          <w:color w:val="auto"/>
          <w:spacing w:val="0"/>
          <w:position w:val="0"/>
          <w:sz w:val="24"/>
          <w:shd w:fill="FFFFFF" w:val="clear"/>
        </w:rPr>
        <w:t xml:space="preserve"> внесення до електронної системи охорони здоров’я актуальної інформації про медичне обладнання, визначене в цьому Оголошенні, є обов’язковим за умови наявності відповідної технічної можливості в електронній системі охорони здоров’я.</w:t>
      </w:r>
    </w:p>
    <w:p>
      <w:pPr>
        <w:spacing w:before="0" w:after="0" w:line="256"/>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НСЗУ розглядає пропозиції про укладення договору  до </w:t>
      </w:r>
      <w:r>
        <w:rPr>
          <w:rFonts w:ascii="Times New Roman" w:hAnsi="Times New Roman" w:cs="Times New Roman" w:eastAsia="Times New Roman"/>
          <w:b/>
          <w:color w:val="auto"/>
          <w:spacing w:val="0"/>
          <w:position w:val="0"/>
          <w:sz w:val="24"/>
          <w:u w:val="single"/>
          <w:shd w:fill="auto" w:val="clear"/>
        </w:rPr>
        <w:t xml:space="preserve">17 березня 2020 року включно</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Умови закупівлі медичних послуг, які будуть надаватись за Договором </w:t>
      </w: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надання послуги: </w:t>
      </w:r>
      <w:r>
        <w:rPr>
          <w:rFonts w:ascii="Times New Roman" w:hAnsi="Times New Roman" w:cs="Times New Roman" w:eastAsia="Times New Roman"/>
          <w:b/>
          <w:color w:val="auto"/>
          <w:spacing w:val="0"/>
          <w:position w:val="0"/>
          <w:sz w:val="24"/>
          <w:shd w:fill="auto" w:val="clear"/>
        </w:rPr>
        <w:t xml:space="preserve">стаціонарно.</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Підстави надання послуги: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за направленням лікуючого лікаря;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доставлення бригадою екстреної (швидкої) медичної допомоги;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самозвернення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пацієнток при розродженні (О80-О84).</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організації надання послуги: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Наявність операційного блоку з виділеною операційною кімнатою для проведення кесаревих розтинів та інших хірургічних акушерських втручань.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Наявність палати або відділення інтенсивної терапії новонароджених, оснащених відповідно до наказів МОЗ України.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Наявність палати або відділення інтенсивної терапії для </w:t>
      </w:r>
      <w:r>
        <w:rPr>
          <w:rFonts w:ascii="Times New Roman" w:hAnsi="Times New Roman" w:cs="Times New Roman" w:eastAsia="Times New Roman"/>
          <w:color w:val="auto"/>
          <w:spacing w:val="0"/>
          <w:position w:val="0"/>
          <w:sz w:val="24"/>
          <w:shd w:fill="FFFFFF" w:val="clear"/>
        </w:rPr>
        <w:t xml:space="preserve">вагітної, роділлі, породіллі, </w:t>
      </w:r>
      <w:r>
        <w:rPr>
          <w:rFonts w:ascii="Times New Roman" w:hAnsi="Times New Roman" w:cs="Times New Roman" w:eastAsia="Times New Roman"/>
          <w:color w:val="auto"/>
          <w:spacing w:val="0"/>
          <w:position w:val="0"/>
          <w:sz w:val="24"/>
          <w:shd w:fill="auto" w:val="clear"/>
        </w:rPr>
        <w:t xml:space="preserve">оснащених відповідно до наказів МОЗ України.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Наявність індивідуальних пологових зал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щонайменше 2.</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Наявність післяпологових палат для спільного перебування матері та новонародженого.</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FFFFFF" w:val="clear"/>
        </w:rPr>
        <w:t xml:space="preserve">Забезпечення цілодобового лікарського спостереження за жінкою у важкому стані та лікування до її транспортування у заклад вищого рівня протягом усіх днів тижня.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FFFFFF" w:val="clear"/>
        </w:rPr>
        <w:t xml:space="preserve">Забезпечення цілодобового лікарського спостереження за новонародженим у важкому стані та лікування до його транспортування у заклад вищого рівня протягом усіх днів тижня.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Узгодження переведення і транспортування жінок та новонароджених у заклади вищого рівня у разі потреби в цілодобовому режимі.</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Забезпечення цілодобового доступу до базових лабораторних та інструментальних обстежень.</w:t>
      </w:r>
    </w:p>
    <w:p>
      <w:pPr>
        <w:numPr>
          <w:ilvl w:val="0"/>
          <w:numId w:val="13"/>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Забезпечення проведення гістологічного дослідження у закладі або на умовах договору підряду.</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Забезпечення компонентами крові.</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спеціалізації та кількості фахівців:</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FFFFFF" w:val="clear"/>
        </w:rPr>
        <w:t xml:space="preserve">Лікар-акушер-гінеколог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3 особи, які працюють </w:t>
      </w:r>
      <w:r>
        <w:rPr>
          <w:rFonts w:ascii="Times New Roman" w:hAnsi="Times New Roman" w:cs="Times New Roman" w:eastAsia="Times New Roman"/>
          <w:color w:val="auto"/>
          <w:spacing w:val="0"/>
          <w:position w:val="0"/>
          <w:sz w:val="24"/>
          <w:shd w:fill="auto" w:val="clear"/>
        </w:rPr>
        <w:t xml:space="preserve">за основним місцем роботи в цьому закладі </w:t>
      </w:r>
      <w:r>
        <w:rPr>
          <w:rFonts w:ascii="Times New Roman" w:hAnsi="Times New Roman" w:cs="Times New Roman" w:eastAsia="Times New Roman"/>
          <w:color w:val="auto"/>
          <w:spacing w:val="0"/>
          <w:position w:val="0"/>
          <w:sz w:val="24"/>
          <w:shd w:fill="FFFFFF" w:val="clear"/>
        </w:rPr>
        <w:t xml:space="preserve">(не стосується медичного чергування). </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Лікар-анестезіолог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щонайменше 3 особи, які працюють за основним місцем роботи в цьому закладі </w:t>
      </w:r>
      <w:r>
        <w:rPr>
          <w:rFonts w:ascii="Times New Roman" w:hAnsi="Times New Roman" w:cs="Times New Roman" w:eastAsia="Times New Roman"/>
          <w:color w:val="auto"/>
          <w:spacing w:val="0"/>
          <w:position w:val="0"/>
          <w:sz w:val="24"/>
          <w:shd w:fill="FFFFFF" w:val="clear"/>
        </w:rPr>
        <w:t xml:space="preserve">(не стосується медичного чергування).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Лікар-педіатр-неонатолог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щонайменше одна особа, яка працює за основним місцем роботи в цьому закладі.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Акушерка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w:t>
      </w:r>
      <w:r>
        <w:rPr>
          <w:rFonts w:ascii="Times New Roman" w:hAnsi="Times New Roman" w:cs="Times New Roman" w:eastAsia="Times New Roman"/>
          <w:color w:val="auto"/>
          <w:spacing w:val="0"/>
          <w:position w:val="0"/>
          <w:sz w:val="24"/>
          <w:shd w:fill="auto" w:val="clear"/>
        </w:rPr>
        <w:t xml:space="preserve">за основним місцем роботи в цьому закладі </w:t>
      </w:r>
      <w:r>
        <w:rPr>
          <w:rFonts w:ascii="Times New Roman" w:hAnsi="Times New Roman" w:cs="Times New Roman" w:eastAsia="Times New Roman"/>
          <w:color w:val="auto"/>
          <w:spacing w:val="0"/>
          <w:position w:val="0"/>
          <w:sz w:val="24"/>
          <w:shd w:fill="FFFFFF" w:val="clear"/>
        </w:rPr>
        <w:t xml:space="preserve">(цілодобовий пост)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14"/>
          <w:shd w:fill="auto" w:val="clear"/>
        </w:rPr>
        <w:t xml:space="preserve"> </w:t>
        <w:tab/>
      </w:r>
      <w:r>
        <w:rPr>
          <w:rFonts w:ascii="Times New Roman" w:hAnsi="Times New Roman" w:cs="Times New Roman" w:eastAsia="Times New Roman"/>
          <w:color w:val="auto"/>
          <w:spacing w:val="0"/>
          <w:position w:val="0"/>
          <w:sz w:val="24"/>
          <w:shd w:fill="auto" w:val="clear"/>
        </w:rPr>
        <w:t xml:space="preserve">Сестра медична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w:t>
      </w:r>
      <w:r>
        <w:rPr>
          <w:rFonts w:ascii="Times New Roman" w:hAnsi="Times New Roman" w:cs="Times New Roman" w:eastAsia="Times New Roman"/>
          <w:color w:val="auto"/>
          <w:spacing w:val="0"/>
          <w:position w:val="0"/>
          <w:sz w:val="24"/>
          <w:shd w:fill="auto" w:val="clear"/>
        </w:rPr>
        <w:t xml:space="preserve">за основним місцем роботи в цьому закладі.</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переліку обладнання: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У закладі:</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портативний дефібрилятор з функцією синхронізації;</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УЗД апарат з можливістю проведення доплерографії;</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електрокардіограф багатоканальний.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За місцем надання послуги: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апарат ШВЛ з опцією для новонароджених;</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ларингоскоп, ендотрахеальні (інтубаційні) трубки;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ларингоскоп с клинками 00, 0, 1;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дихальний мішок типу Амбу </w:t>
      </w:r>
      <w:r>
        <w:rPr>
          <w:rFonts w:ascii="Times New Roman" w:hAnsi="Times New Roman" w:cs="Times New Roman" w:eastAsia="Times New Roman"/>
          <w:color w:val="auto"/>
          <w:spacing w:val="0"/>
          <w:position w:val="0"/>
          <w:sz w:val="24"/>
          <w:shd w:fill="FFFFFF" w:val="clear"/>
        </w:rPr>
        <w:t xml:space="preserve">або реанімаційна Т-система </w:t>
      </w:r>
      <w:r>
        <w:rPr>
          <w:rFonts w:ascii="Times New Roman" w:hAnsi="Times New Roman" w:cs="Times New Roman" w:eastAsia="Times New Roman"/>
          <w:color w:val="auto"/>
          <w:spacing w:val="0"/>
          <w:position w:val="0"/>
          <w:sz w:val="24"/>
          <w:shd w:fill="auto" w:val="clear"/>
        </w:rPr>
        <w:t xml:space="preserve">для новонароджених);</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кардіотокограф;</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наркозний апарат / станція;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FFFFFF" w:val="clear"/>
        </w:rPr>
        <w:t xml:space="preserve">вакуум-екстрактор плоду (можливо одноразовий);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монітор пацієнта (ЧСС, ЕКГ, АТ, SpO2);</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пульсоксиметр для новонародженого;</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автоматичний дозатор лікарських речовин;</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аспіратор (відсмоктувач);</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установка променевого тепла та/або інші джерела тепла;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лампа фототерапії;</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Інші вимоги:</w:t>
      </w:r>
    </w:p>
    <w:p>
      <w:pPr>
        <w:numPr>
          <w:ilvl w:val="0"/>
          <w:numId w:val="15"/>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Наявність ліцензії </w:t>
      </w:r>
      <w:r>
        <w:rPr>
          <w:rFonts w:ascii="Times New Roman" w:hAnsi="Times New Roman" w:cs="Times New Roman" w:eastAsia="Times New Roman"/>
          <w:color w:val="auto"/>
          <w:spacing w:val="0"/>
          <w:position w:val="0"/>
          <w:sz w:val="24"/>
          <w:shd w:fill="FFFFFF" w:val="clear"/>
        </w:rPr>
        <w:t xml:space="preserve">на провадження діяльності з обігу наркотичних речовин та прекурсорів</w:t>
      </w:r>
      <w:r>
        <w:rPr>
          <w:rFonts w:ascii="Times New Roman" w:hAnsi="Times New Roman" w:cs="Times New Roman" w:eastAsia="Times New Roman"/>
          <w:color w:val="auto"/>
          <w:spacing w:val="0"/>
          <w:position w:val="0"/>
          <w:sz w:val="24"/>
          <w:shd w:fill="auto" w:val="clear"/>
        </w:rPr>
        <w:t xml:space="preserve">.</w:t>
      </w:r>
    </w:p>
    <w:p>
      <w:pPr>
        <w:numPr>
          <w:ilvl w:val="0"/>
          <w:numId w:val="15"/>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pPr>
        <w:numPr>
          <w:ilvl w:val="0"/>
          <w:numId w:val="15"/>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Подання даних до </w:t>
      </w:r>
      <w:r>
        <w:rPr>
          <w:rFonts w:ascii="Times New Roman" w:hAnsi="Times New Roman" w:cs="Times New Roman" w:eastAsia="Times New Roman"/>
          <w:color w:val="auto"/>
          <w:spacing w:val="0"/>
          <w:position w:val="0"/>
          <w:sz w:val="24"/>
          <w:shd w:fill="FFFFFF" w:val="clear"/>
        </w:rPr>
        <w:t xml:space="preserve">електронної системи охорони здоров’я </w:t>
      </w:r>
      <w:r>
        <w:rPr>
          <w:rFonts w:ascii="Times New Roman" w:hAnsi="Times New Roman" w:cs="Times New Roman" w:eastAsia="Times New Roman"/>
          <w:color w:val="auto"/>
          <w:spacing w:val="0"/>
          <w:position w:val="0"/>
          <w:sz w:val="24"/>
          <w:shd w:fill="auto" w:val="clear"/>
        </w:rPr>
        <w:t xml:space="preserve">на постійній основі.</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592 «</w:t>
      </w:r>
      <w:r>
        <w:rPr>
          <w:rFonts w:ascii="Times New Roman" w:hAnsi="Times New Roman" w:cs="Times New Roman" w:eastAsia="Times New Roman"/>
          <w:color w:val="auto"/>
          <w:spacing w:val="0"/>
          <w:position w:val="0"/>
          <w:sz w:val="24"/>
          <w:shd w:fill="auto" w:val="clear"/>
        </w:rPr>
        <w:t xml:space="preserve">Порядок допуску відвідувачів до пацієнтів, які перебувають на стаціонарному лікуванні у відділенні інтенсивної терапії</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72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 медичних послуг, які будуть надаватися за Договором (Специфікація) </w:t>
      </w:r>
    </w:p>
    <w:p>
      <w:pPr>
        <w:spacing w:before="0" w:after="0" w:line="276"/>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Надання медичної допомоги при пологах черговою акушерською бригадою. </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Ведення нормальних пологів.</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вагінальних інструментальних пологів (вакуум-екстракція, акушерські лещата) в разі виникнення ускладнень.</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ургентного кесарево розтину.</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планового кесарського розтину (у закладах охорони здоров’я ІІ та ІІІ рівня перинатальної допомоги).</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Моніторинг стану роділлі, плода, породіллі та новонародженого. </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Зниження больових відчуттів у жінки під час пологів.</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лабораторних та інструментальних обстежень у цілодобовому режимі.</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інтенсивної терапії жінкам у випадку виникнення у них загрозливих для життя станів.</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заходів з первинної реанімації та стабілізації стану новонароджених.</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щеплень новонародженим та породіллям згідно з діючим календарем профілактичних щеплень.</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Проведення метаболічного скринінгу у новонароджених відповідно до діючих стандартів.</w:t>
      </w:r>
    </w:p>
    <w:p>
      <w:pPr>
        <w:numPr>
          <w:ilvl w:val="0"/>
          <w:numId w:val="21"/>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Консультування жінок з питань грудного вигодовування і післяпологової контрацепції.</w:t>
      </w:r>
    </w:p>
    <w:p>
      <w:pPr>
        <w:spacing w:before="0" w:after="0" w:line="256"/>
        <w:ind w:right="0" w:left="0" w:firstLine="709"/>
        <w:jc w:val="both"/>
        <w:rPr>
          <w:rFonts w:ascii="Times New Roman" w:hAnsi="Times New Roman" w:cs="Times New Roman" w:eastAsia="Times New Roman"/>
          <w:color w:val="auto"/>
          <w:spacing w:val="0"/>
          <w:position w:val="0"/>
          <w:sz w:val="24"/>
          <w:shd w:fill="FF00FF" w:val="clear"/>
        </w:rPr>
      </w:pPr>
    </w:p>
    <w:p>
      <w:p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391.</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center"/>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center"/>
        <w:rPr>
          <w:rFonts w:ascii="Times New Roman" w:hAnsi="Times New Roman" w:cs="Times New Roman" w:eastAsia="Times New Roman"/>
          <w:i/>
          <w:color w:val="auto"/>
          <w:spacing w:val="0"/>
          <w:position w:val="0"/>
          <w:sz w:val="24"/>
          <w:u w:val="single"/>
          <w:shd w:fill="FFFFFF" w:val="clear"/>
        </w:rPr>
      </w:pPr>
      <w:r>
        <w:rPr>
          <w:rFonts w:ascii="Times New Roman" w:hAnsi="Times New Roman" w:cs="Times New Roman" w:eastAsia="Times New Roman"/>
          <w:i/>
          <w:color w:val="auto"/>
          <w:spacing w:val="0"/>
          <w:position w:val="0"/>
          <w:sz w:val="24"/>
          <w:u w:val="single"/>
          <w:shd w:fill="FFFFFF" w:val="clear"/>
        </w:rPr>
        <w:t xml:space="preserve">Подати пропозицію </w:t>
      </w:r>
      <w:r>
        <w:rPr>
          <w:rFonts w:ascii="Times New Roman" w:hAnsi="Times New Roman" w:cs="Times New Roman" w:eastAsia="Times New Roman"/>
          <w:b/>
          <w:i/>
          <w:color w:val="auto"/>
          <w:spacing w:val="0"/>
          <w:position w:val="0"/>
          <w:sz w:val="24"/>
          <w:u w:val="single"/>
          <w:shd w:fill="FFFFFF" w:val="clear"/>
        </w:rPr>
        <w:t xml:space="preserve">«</w:t>
      </w:r>
      <w:r>
        <w:rPr>
          <w:rFonts w:ascii="Times New Roman" w:hAnsi="Times New Roman" w:cs="Times New Roman" w:eastAsia="Times New Roman"/>
          <w:b/>
          <w:i/>
          <w:color w:val="auto"/>
          <w:spacing w:val="0"/>
          <w:position w:val="0"/>
          <w:sz w:val="24"/>
          <w:u w:val="single"/>
          <w:shd w:fill="FFFFFF" w:val="clear"/>
        </w:rPr>
        <w:t xml:space="preserve">Медична допомога при пологах</w:t>
      </w:r>
      <w:r>
        <w:rPr>
          <w:rFonts w:ascii="Times New Roman" w:hAnsi="Times New Roman" w:cs="Times New Roman" w:eastAsia="Times New Roman"/>
          <w:b/>
          <w:i/>
          <w:color w:val="auto"/>
          <w:spacing w:val="0"/>
          <w:position w:val="0"/>
          <w:sz w:val="24"/>
          <w:u w:val="single"/>
          <w:shd w:fill="FFFFFF" w:val="clear"/>
        </w:rPr>
        <w:t xml:space="preserve">», </w:t>
      </w:r>
      <w:r>
        <w:rPr>
          <w:rFonts w:ascii="Times New Roman" w:hAnsi="Times New Roman" w:cs="Times New Roman" w:eastAsia="Times New Roman"/>
          <w:i/>
          <w:color w:val="auto"/>
          <w:spacing w:val="0"/>
          <w:position w:val="0"/>
          <w:sz w:val="24"/>
          <w:u w:val="single"/>
          <w:shd w:fill="FFFFFF" w:val="clear"/>
        </w:rPr>
        <w:t xml:space="preserve">перейшовши за цим посиланням </w:t>
      </w:r>
      <w:hyperlink xmlns:r="http://schemas.openxmlformats.org/officeDocument/2006/relationships" r:id="docRId0">
        <w:r>
          <w:rPr>
            <w:rFonts w:ascii="Times New Roman" w:hAnsi="Times New Roman" w:cs="Times New Roman" w:eastAsia="Times New Roman"/>
            <w:i/>
            <w:color w:val="0000FF"/>
            <w:spacing w:val="0"/>
            <w:position w:val="0"/>
            <w:sz w:val="24"/>
            <w:u w:val="single"/>
            <w:shd w:fill="FFFFFF" w:val="clear"/>
          </w:rPr>
          <w:t xml:space="preserve">https://smarttender.biz/</w:t>
        </w:r>
      </w:hyperlink>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заповнення заяви необхідно:</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підставу, відповідно до якої діє підписант договору (</w:t>
      </w:r>
      <w:r>
        <w:rPr>
          <w:rFonts w:ascii="Times New Roman" w:hAnsi="Times New Roman" w:cs="Times New Roman" w:eastAsia="Times New Roman"/>
          <w:i/>
          <w:color w:val="auto"/>
          <w:spacing w:val="0"/>
          <w:position w:val="0"/>
          <w:sz w:val="24"/>
          <w:shd w:fill="FFFFFF" w:val="clear"/>
        </w:rPr>
        <w:t xml:space="preserve">для юридичних осіб автоматично зазначається </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b/>
          <w:i/>
          <w:color w:val="auto"/>
          <w:spacing w:val="0"/>
          <w:position w:val="0"/>
          <w:sz w:val="24"/>
          <w:shd w:fill="FFFFFF" w:val="clear"/>
        </w:rPr>
        <w:t xml:space="preserve">діє на підставі Статуту</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для фізичних осіб-підприємців - необхідно </w:t>
      </w:r>
      <w:r>
        <w:rPr>
          <w:rFonts w:ascii="Times New Roman" w:hAnsi="Times New Roman" w:cs="Times New Roman" w:eastAsia="Times New Roman"/>
          <w:b/>
          <w:i/>
          <w:color w:val="auto"/>
          <w:spacing w:val="0"/>
          <w:position w:val="0"/>
          <w:sz w:val="24"/>
          <w:shd w:fill="FFFFFF" w:val="clear"/>
        </w:rPr>
        <w:t xml:space="preserve">вказати номер  та дату </w:t>
      </w:r>
      <w:r>
        <w:rPr>
          <w:rFonts w:ascii="Times New Roman" w:hAnsi="Times New Roman" w:cs="Times New Roman" w:eastAsia="Times New Roman"/>
          <w:i/>
          <w:color w:val="auto"/>
          <w:spacing w:val="0"/>
          <w:position w:val="0"/>
          <w:sz w:val="24"/>
          <w:shd w:fill="FFFFFF" w:val="clear"/>
        </w:rPr>
        <w:t xml:space="preserve">запису в Єдиному державному реєстрі юридичних осіб, фізичних осіб-підприємців та громадських формувань)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обрати місця надання послуг, які будуть включені до договору</w:t>
      </w:r>
      <w:r>
        <w:rPr>
          <w:rFonts w:ascii="Times New Roman" w:hAnsi="Times New Roman" w:cs="Times New Roman" w:eastAsia="Times New Roman"/>
          <w:i/>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статистичні дані за формою звітності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21, </w:t>
      </w:r>
      <w:r>
        <w:rPr>
          <w:rFonts w:ascii="Times New Roman" w:hAnsi="Times New Roman" w:cs="Times New Roman" w:eastAsia="Times New Roman"/>
          <w:color w:val="auto"/>
          <w:spacing w:val="0"/>
          <w:position w:val="0"/>
          <w:sz w:val="24"/>
          <w:shd w:fill="FFFFFF" w:val="clear"/>
        </w:rPr>
        <w:t xml:space="preserve">затвердженою наказом МОЗ від 10.07.2007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378, </w:t>
      </w:r>
      <w:r>
        <w:rPr>
          <w:rFonts w:ascii="Times New Roman" w:hAnsi="Times New Roman" w:cs="Times New Roman" w:eastAsia="Times New Roman"/>
          <w:color w:val="auto"/>
          <w:spacing w:val="0"/>
          <w:position w:val="0"/>
          <w:sz w:val="24"/>
          <w:shd w:fill="FFFFFF" w:val="clear"/>
        </w:rPr>
        <w:t xml:space="preserve">за 2018 рік;</w:t>
      </w:r>
      <w:r>
        <w:rPr>
          <w:rFonts w:ascii="Times New Roman" w:hAnsi="Times New Roman" w:cs="Times New Roman" w:eastAsia="Times New Roman"/>
          <w:i/>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банківські реквізити суб'єкта господарювання (IBAN);</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разі потреби, разом із заявою також необхідно подати додатки до неї, які слід прикріпити  у вигляді сканованих документів у форматі PDF (далі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пропозиція).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додатків до пропозиції</w:t>
      </w: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1.  </w:t>
      </w:r>
      <w:r>
        <w:rPr>
          <w:rFonts w:ascii="Times New Roman" w:hAnsi="Times New Roman" w:cs="Times New Roman" w:eastAsia="Times New Roman"/>
          <w:color w:val="auto"/>
          <w:spacing w:val="0"/>
          <w:position w:val="0"/>
          <w:sz w:val="24"/>
          <w:shd w:fill="FFFFFF" w:val="clear"/>
        </w:rPr>
        <w:t xml:space="preserve">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pPr>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pPr>
        <w:numPr>
          <w:ilvl w:val="0"/>
          <w:numId w:val="30"/>
        </w:numPr>
        <w:spacing w:before="0" w:after="0" w:line="276"/>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ліцензія на бланку, якщо документ отримано до 01 січня 2017 року;</w:t>
      </w:r>
    </w:p>
    <w:p>
      <w:pPr>
        <w:numPr>
          <w:ilvl w:val="0"/>
          <w:numId w:val="30"/>
        </w:numPr>
        <w:spacing w:before="0" w:after="200" w:line="276"/>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витяг з наказу МОЗ, якщо ліцензію отримано після 01 січня 2017 року.</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Проект додатку до договору щодо спеціальних умов надання відповідних видів медичних послуг або груп медичних послуг</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4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FFFFFF" w:val="clear"/>
        </w:rPr>
        <w:t xml:space="preserve">Протягом десяти календарних днів</w:t>
      </w:r>
      <w:r>
        <w:rPr>
          <w:rFonts w:ascii="Times New Roman" w:hAnsi="Times New Roman" w:cs="Times New Roman" w:eastAsia="Times New Roman"/>
          <w:color w:val="auto"/>
          <w:spacing w:val="0"/>
          <w:position w:val="0"/>
          <w:sz w:val="24"/>
          <w:shd w:fill="FFFFFF" w:val="clear"/>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Важливо:</w:t>
      </w:r>
    </w:p>
    <w:p>
      <w:pPr>
        <w:spacing w:before="0" w:after="0" w:line="276"/>
        <w:ind w:right="0" w:left="0" w:firstLine="70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Договори відповідно до цього Оголошення укладаються на </w:t>
      </w:r>
      <w:r>
        <w:rPr>
          <w:rFonts w:ascii="Times New Roman" w:hAnsi="Times New Roman" w:cs="Times New Roman" w:eastAsia="Times New Roman"/>
          <w:b/>
          <w:color w:val="auto"/>
          <w:spacing w:val="0"/>
          <w:position w:val="0"/>
          <w:sz w:val="24"/>
          <w:shd w:fill="FFFFFF" w:val="clear"/>
        </w:rPr>
        <w:t xml:space="preserve">строк дії з 1 квітня по 31 грудня 2020 року.</w:t>
      </w:r>
    </w:p>
    <w:p>
      <w:pPr>
        <w:spacing w:before="0" w:after="0" w:line="276"/>
        <w:ind w:right="0" w:left="0" w:firstLine="0"/>
        <w:jc w:val="both"/>
        <w:rPr>
          <w:rFonts w:ascii="Times New Roman" w:hAnsi="Times New Roman" w:cs="Times New Roman" w:eastAsia="Times New Roman"/>
          <w:color w:val="auto"/>
          <w:spacing w:val="0"/>
          <w:position w:val="0"/>
          <w:sz w:val="24"/>
          <w:shd w:fill="FF0000"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256"/>
        <w:ind w:right="0" w:left="0" w:firstLine="70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24"/>
          <w:shd w:fill="auto" w:val="clear"/>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pPr>
        <w:numPr>
          <w:ilvl w:val="0"/>
          <w:numId w:val="40"/>
        </w:num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Центральний міжрегіональний департамент (м. Київ, Київська обл., Житомирська обл., Вінницька обл., Черкаська обл.) -  (044) 299 04 86, (044) 299 04 97.</w:t>
      </w:r>
    </w:p>
    <w:p>
      <w:pPr>
        <w:numPr>
          <w:ilvl w:val="0"/>
          <w:numId w:val="40"/>
        </w:num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Північний міжрегіональний департамент (Полтавська обл., Сумська обл., Харківська обл., Чернігівська обл.) -  (044) 299 04 96.</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Південний міжрегіональний департамент (Миколаївська обл., Одеська обл., Херсонська обл., Автономна Республіка Крим)  - (048) 753 13 86.</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Східний міжрегіональний департамент (Дніпропетровська обл., Донецька обл., Запорізька обл., Кіровоградська обл., Луганська обл.) - 098 041 13 45.</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13">
    <w:abstractNumId w:val="24"/>
  </w:num>
  <w:num w:numId="15">
    <w:abstractNumId w:val="18"/>
  </w:num>
  <w:num w:numId="21">
    <w:abstractNumId w:val="12"/>
  </w:num>
  <w:num w:numId="30">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marttender.biz/"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