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ind w:firstLine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повідомлення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звернення суб’єкта господарювання щодо можливості надання медичних послуг за напрямом «Медична допомога новонародженим у складних неонатальних випадках»</w:t>
      </w:r>
    </w:p>
    <w:p>
      <w:pPr>
        <w:spacing w:lineRule="auto" w:line="240" w:after="0" w:beforeAutospacing="0" w:afterAutospacing="0"/>
        <w:ind w:firstLine="708" w:right="-426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>З метою проведення аналізу наявного медичного обладнання, персоналу, ліцензій, дозвільних документів, необхідних для надання медичних послуг, а також підрядників, які будуть залучені до надання медичних послуг, надсилаємо наступну інформацію:</w:t>
      </w:r>
    </w:p>
    <w:p>
      <w:pPr>
        <w:jc w:val="center"/>
      </w:pPr>
    </w:p>
    <w:tbl>
      <w:tblPr>
        <w:tblW w:w="9776" w:type="dxa"/>
        <w:tblInd w:w="-5" w:type="dxa"/>
        <w:tblLayout w:type="fixed"/>
        <w:tblLook w:val="04A0"/>
      </w:tblPr>
      <w:tblGrid/>
      <w:tr>
        <w:trPr>
          <w:trHeight w:hRule="atLeast" w:val="54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beforeAutospacing="0" w:afterAutospacing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  <w:t xml:space="preserve">Назва поля для 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>заповнення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  <w:t>Інформація, зазначена суб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val="ru-RU"/>
              </w:rPr>
              <w:t>єктом господарювання</w:t>
            </w:r>
          </w:p>
        </w:tc>
      </w:tr>
      <w:tr>
        <w:trPr>
          <w:trHeight w:hRule="atLeast" w:val="41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394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Повна назва закладу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06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Організаційно правова форма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26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Керівник закладу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00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Підстава, відповідно до якої діє підписант договору</w:t>
            </w:r>
            <w:r>
              <w:rPr>
                <w:rFonts w:ascii="Times New Roman" w:hAnsi="Times New Roman"/>
                <w:sz w:val="24"/>
                <w:szCs w:val="24"/>
              </w:rPr>
              <w:t>, ФОП вказує № та дату виписки з ЄДР (вводиться за шаблоном: №__ від____)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>
        <w:trPr>
          <w:trHeight w:hRule="atLeast" w:val="44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Ліцензія на медичну практику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53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Ліцензія </w:t>
            </w:r>
            <w:r>
              <w:rPr>
                <w:rFonts w:ascii="Times New Roman" w:hAnsi="Times New Roman"/>
                <w:sz w:val="24"/>
                <w:szCs w:val="24"/>
              </w:rPr>
              <w:t>на провадження господарської діяльності, пов’язаної з обігом наркотичних засобів, психотропних речовин і прекурсорів (зберігання, використання)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20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IBAN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20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 дії договору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12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ind w:firstLine="601" w:left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Перелік залучених осіб</w:t>
            </w:r>
          </w:p>
        </w:tc>
      </w:tr>
      <w:tr>
        <w:trPr>
          <w:trHeight w:hRule="atLeast" w:val="526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Коди ЄДРПОУ підрядників.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538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after="12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Вимоги до організації надання послуги 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наявне у закладі відділення інтенсивної терапії новонароджених?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наявне у закладі відділення постінтенсивного виходжування для новонароджених та/або постнатального догляду?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наявний у закладі катамнестичний кабінет?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 забезпечено у закладі транспортування передчасно народжених дітей з гестаційним віком до 34 тижнів та масою при народженні менш ніж 1500 г?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забезпечено цілодобове проведення лабораторних досліджень у закладі?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розгорнутий загальний аналіз крові;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аналіз сечі;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біохімічний аналіз крові (загальний білок, С-реактивний білок, аспартатамінотрансфераза (АсАТ), аланінамінотрансфераза (АлАТ), гамма-глутамілтрансфераза, білірубін і його фракції (загальний, прямий, непрямий), креатинін, сечовина, лактатдегідрогеназа, лактат, тригліцериди, альбумін, лужна фосфатаза);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електроліти (іонізований кальцій, фосфор, магній, кальцій, натрій, калій); 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кислотно-лужний стан крові та парціальний тиск газів у крові;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коагулограма (протромбіновий час, міжнародне нормалізоване відношення (МНВ), активований частковий тромбопластиновий час (АЧТЧ), тромбіновий час, D-дімер, фібриноген);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глюкоза в цільній крові або сироватці крові;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крові та резус-фактор;</w:t>
            </w:r>
          </w:p>
          <w:p>
            <w:pPr>
              <w:pStyle w:val="P3"/>
              <w:numPr>
                <w:ilvl w:val="1"/>
                <w:numId w:val="11"/>
              </w:numPr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аналіз ліквору;</w:t>
            </w:r>
          </w:p>
          <w:p>
            <w:pPr>
              <w:pStyle w:val="P3"/>
              <w:numPr>
                <w:ilvl w:val="1"/>
                <w:numId w:val="11"/>
              </w:numPr>
              <w:spacing w:after="0" w:beforeAutospacing="0" w:afterAutospacing="0"/>
              <w:ind w:firstLine="0"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Кумбса;</w:t>
            </w:r>
          </w:p>
          <w:p>
            <w:p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взяття біосубстрату для бактеріологічного дослідження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можливість проведення консультацій лікарями інших спеціальностей у закладі та/або на умовах договору підряду?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69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у закладі цілодобовий лікарський та медсестринський догляд за пацієнтом/пацієнткою?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у закладі сприятливе сенсорне оточення для дитини та сімейно-орієнтований догляд спрямований на її розвиток?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організовано у закладі виходжування немовлят за методом Кенгуру, у т.ч. у ВІТ?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47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організовано у закладі цілодобове забезпечення компонентами та препаратами крові?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у закладі направлення дітей групи ризику щодо затримки розвитку та/або виникнення хронічних захворювань в центри/кабінети катамнестичного спостереження?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91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у закладі направлення на послуги з катамнестичного спостереження передчасно народжених дітей та дітей з перинатальною патологією з моменту виписки з закладу до 3-х років?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організовано у закладі перевезення новонароджених виїзною неонатологічною бригадою невідкладної медичної допомоги та інтенсивної терапії до інших закладів охорони здоров’я в межах області та до національних закладів охорони здоров’я?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 налагоджено у закладі взаємодію з іншими надавачами медичних послуг, центрами соціальних служб для сім’ї, дітей та молоді, службами у справах дітей, іншими надавачами соціальних послуг?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наявна у закладі затверджена програма з інфекційного контролю та дотримання заходів із запобігання інфекційним захворюванням, пов’язаним з наданням медичної допомоги, відповідно до чинних наказів МОЗ?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 наявні у закладі локальні документи з інфекційного контролю за особливо небезпечними інфекційними хворобами (ОНІХ)?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права пацієнта/пацієнтки, який/яка перебуває на лікуванні у відділенні інтенсивної терапії, на допуск до нього/неї відвідувачів 24 години на добу в будь-який день тижня згідно з правилами визначеними у чинній нормативно-правовій базі?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 наявна у закладі внутрішня система управління і контролю якості та безпеки медичної діяльності з дотриманням вимог до їх організації і проведення відповідно до чинного законодавства?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здійснюються закладом закупівлі лікарських засобів та медичних виробів, необхідних для надання медичної допомоги відповідно до галузевих стандартів? Чи здійснюється організація ефективного управління запасами відповідно до вимог?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здійснюється закладом використання та збереження залишків лікарських засобів та медичних виробів, необхідних для лікування пацієнтів, в т.ч. після закінчення дії договору?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проводятьсяу закладі навчально-симуляційні тренінги з первинної реанімації новонароджених у пологових залах та серцево-легеневої реанімації у відділеннях інтенсивної терапії та відділеннях виходжування новонароджених?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08.34. Чи забезпечено у закладі ведення медичної карти стаціонарного хворого (форма № 003/о) та/або медичної карти новонародженого (форма № 097/о)?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97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забезпечено у закладі оцінку стану здоров’я пацієнта/пацієнтки, в тому числі виявлення ознак насильства та дотримання вимог законодавства у сфері протидії насильству?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611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 дотримуються в ЗОЗ права людини відповідно до рекомендацій?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0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ind w:firstLine="601"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ДОДАТКОВІ Вимоги до організації надання послуги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та робота виїзної неонатологічної бригади невідкладної медичної допомоги та інтенсивної терапії.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83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Вимоги до переліку обладнання у закладі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гематологічний аналізатор;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аналізатор газів крові;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коагуляційний аналізатор;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біохімічний аналізатор;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система ультразвукової візуалізації з неонатальними датчиками, включаючи лінійний датчик;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64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before="120" w:after="120" w:beforeAutospacing="0" w:afterAutospacing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ДОДАТКОВІ Вимоги до переліку обладнання у закладі (для забезпечення роботи виїзної неонатологічної бригади невідкладної медичної допомоги та інтенсивної терапії)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автомобіля швидкої медичної допомоги типу С відповідно до стандартів ДСТУ 1789:2015 та/або ДСТУ 1789:2019, оснащеного відповідно до галузевих стандартів у сфері охорони здоров’я;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транспортний інкубатор із серво-контролем температури тіла дитини і системою аварійної сигналізації;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повітряний або гідроматрац з блоком підігріву;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сертифіковані та повірені балон(и) з киснем і редуктором (запас кисню – мінімум на 2 години);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сертифіковані та повірені балони з киснем об’ємом 2-10 л для транспортного інкубатора;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компресор або балон(и) з повітрям (запас повітря – мінімум на 2 години);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мішок ручної вентиляції легенів;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ларингоскоп з клинками 00, 0, 1, запасними батарейками і лампочками;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штучної вентиляції легенів для новонароджених з живленням від бортової електромережі автомобіля та від акумуляторів;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аспіратор (відсмоктувач) портативний електричний;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аспіратор (відсмоктувач) портативний з механічним приводом;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автоматичний дозатор лікувальних речовин – щонайменше 2;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пульсоксиметр;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портативний поліфункціональний монітор (частота дихання, SрО2, ЧСС, ЕКГ, АТ) з візуальними і слуховими сигналами тривоги;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термометр безконтактний;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глюкометр.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20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before="120" w:after="120" w:beforeAutospacing="0" w:afterAutospacing="0"/>
              <w:ind w:firstLine="601"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Інші вимоги</w:t>
            </w: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 xml:space="preserve"> 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ліцензії на право провадження діяльності з використання джерел іонізуючого випромінювання (експлуатація, зберігання, отримання) або державна реєстрація джерел іонізуючого випромінювання в Державному регістрі джерел іонізуючого випромінювання (на обладнання, експлуатація якого не потребує ліцензування) на все обладнання, яке визначено в умовах закупівлі та потребує такої ліцензії.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88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ind w:firstLine="567" w:left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Інформація щодо 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>запланованої середньомісячної кількості медичних послуг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заплановану середньомісячну кількість пролікованих випадків при наданні меддопомоги новонародженим з масою тіла 1500 грамів і більше у складних неонатальних випадках відповідно до специфікацій у 2022 році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заплановану середньомісячну кількість пролікованих випадків при наданні медичної допомоги новонародженим з масою тіла до 1500 у складних неонатальних випадках відповідно до специфікацій у 2022 році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84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after="12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Загальна інформація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заклад, уповноважені особи та медичні працівники, які будуть залучені до виконання Договору, зареєстровані в електронній системі охорони здоров’я (далі - Система).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обмежене, у тому числі щодо укладання договорів, ціна встановлену суму, Заявник повідомить про це Національну службу здоров'я України (далі - НСЗУ) та отримає необхідні погодження від власника до моменту підписання договору зі сторони заявника.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ознайомились з умовами закупівлі та специфікацією, визначеними в Повідомленні, і погоджуєтесь на них.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інформація, зазначена у цьому Зверненні та доданих до нього документах, а також інформація, внесена до Системи, є повною та достовірною.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Підтвердження, що у разі зміни інформації, зазначеної у цьому зверненні та (або) доданих до нього документах, Заявник зобов’язаний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dohovir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nszy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 з одночасним внесенням таких змін у Систему.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 усвідомлення, що законодавством України передбачена відповідальність за подання недостовірної інформації органам державної влади.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359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beforeAutospacing="0" w:afterAutospacing="0"/>
              <w:ind w:left="601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ПРО МІСЦЯ НАДАННЯ ПОСЛУГ (застосовуються для кожного МНП окремо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>)</w:t>
            </w:r>
          </w:p>
        </w:tc>
      </w:tr>
      <w:tr>
        <w:trPr>
          <w:trHeight w:hRule="atLeast" w:val="466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Місце надання послуг: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402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after="12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Вимоги до спеціалізації та кількості фахівців у закладі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загальну кількість лікарів-лаборантів, які працюють за основним місцем роботи в закладі в цілому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загальну кількість бактеріологів, та/або біохіміків, які працюють за основним місцем роботи в цьому закладі в цілому або за сумісництвом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кількість лікарів-лаборантів та/або бактеріологів, та/або біохіміків, що працюють у закладі в цілому. (Лікар-лаборант та/або бактеріолог, та/або біохімік – щонайменше 2 особи з даного переліку, які працюють за основним місцем роботи у цьому закладі.)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Лікар-невролог дитячий – щонайменше одна особа, яка працює за основним місцем роботи в цьому закладі або за сумісництвом.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Лікар-офтальмолог дитячий – щонайменше одна особа, яка працює за основним місцем роботи в цьому закладі або за сумісництвом.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Лікар-епідеміолог – щонайменше одна особа, яка працює за основним місцем роботи в цьому закладі або за сумісництвом.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 з ультразвукової діагностики – щонайменше 2 особи, які працюють за основним місцем роботи в цьому закладі або за сумісництвом. 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21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Лікар-лаборант та/або бактеріолог, та/або біохімік – щонайменше 2 особи з даного переліку, які працюють за основним місцем роботи у цьому закладі.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Фельдшер-лаборант та/або лаборант клінічної діагностики, та/або лаборант клініко-діагностичної лабораторії, та/або лаборант – щонайменше 4 особи з даного переліку, які працюють за основним місцем роботи в цьому закладі або за сумісництвом.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19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after="12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Додаткові вимоги до спеціалізації та кількості фахівців за місцем надання послуг</w:t>
            </w:r>
          </w:p>
        </w:tc>
      </w:tr>
      <w:tr>
        <w:trPr>
          <w:trHeight w:hRule="atLeast" w:val="519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Лікар-педіатр-неонатолог та/або лікар-анестезіолог дитячий – щонайменше 4 особи з даного переліку додатково до основного переліку, які працюють за основним місцем роботи в цьому закладі (цілодобовий пост) та входять у склад виїзної неонатологічної бригади невідкладної медичної допомоги та інтенсивної терапії.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519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загальну кількість лікарів-педіатрів-неонатологів та/або лікарів-анестезіологів дитячих, що зареєстровані в ЕСОЗ в закладі в цілому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519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Сестра медична – щонайменше 4 особи додатково до основного переліку, які працюють за основним місцем роботи в цьому закладі (цілодобовий пост) та входять у склад виїзної неонатологічної бригади невідкладної медичної допомоги та інтенсивної терапії.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519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>Вкажіть загальну кількість сестер медичних, що зареєстровані в ЕСОЗ в закладі в цілому.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Вимоги до спеціалізації та кількості фахівців</w:t>
            </w: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before="12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 xml:space="preserve"> Вкажіть загальну кількість лікарів-педіатрів-неонатологів та/або лікарів-анестезіологів дитячих, що зареєстровані в ЕСОЗ в закладі в цілому.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ind w:hanging="218" w:left="57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Сестра медична для обслуговування новонароджених – щонайменше 12 осіб, які працюють за основним місцем роботи в цьому закладі.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Лікар-рентгенолог – щонайменше одна особа, яка працює за основним місцем роботи в цьому закладі або за сумісництвом.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Рентгенолаборант – щонайменше одна особа, яка працює за основним місцем роботи у цьому закладі або за сумісництвом.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ind w:firstLine="601" w:left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Вимоги до переліку обладнання</w:t>
            </w: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 xml:space="preserve"> за місцем надання послуги</w:t>
            </w: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резервне джерело електропостачання;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автоматичне перемикальне комутаційне обладнання відповідно до ДСТУ IEC 60947-6-1: 2007.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система рентгенівська діагностична портативна.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60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spacing w:lineRule="auto" w:line="240" w:before="113" w:after="15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 xml:space="preserve">Вимоги до переліку обладнання </w:t>
            </w: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>у</w:t>
            </w:r>
            <w:r>
              <w:rPr>
                <w:rFonts w:ascii="Times New Roman" w:hAnsi="Times New Roman"/>
                <w:b w:val="1"/>
                <w:i w:val="0"/>
                <w:bCs w:val="1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highlight w:val="white"/>
                <w:shd w:val="clear" w:color="auto" w:fill="FFFFFF"/>
                <w:vertAlign w:val="baseline"/>
                <w:lang/>
              </w:rPr>
              <w:t xml:space="preserve"> відділенні інтенсивної терапії новонароджених</w:t>
            </w: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приєднання внутрішніх мереж відділення до автономного резервного джерела електропостачання відповідно до нормативно-технічних  документів;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киснем: із концентрацією кисню на рівні не менше 93±3% та тиском кисню на виході 0,4 МПа, що забезпечується шляхом системи централізованого постачання кисню та/або кисневих концентраторів зі швидкістю потоку кисню щонайменше 20 л/хв, в тому числі для забезпечення необхідного потоку та тиску кисню в системі для роботи апарата/ів ШВЛ;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система централізованого забезпечення повітрям;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штучної вентиляції легенів для новонароджених – щонайменше 6;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для неінвазивної ШВЛ (додатковий апарат, якщо дана опція відсутня в апараті ШВЛ) – щонайменше 2;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n-CPAP (додатковий апарат, якщо дана опція відсутня в апараті ШВЛ) – щонайменше 2;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штучної вентиляції легенів високочастотний (додатковий апарат, якщо дана опція відсутня в апараті ШВЛ);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штучної вентиляції легенів для транспортування пацієнтів з опцією неінвазивної дихальної підтримки;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ларингоскоп з клинками 00, 0, 1;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інкубатори закриті – щонайменше 3;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інкубатори відкриті – щонайменше 3;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система моніторингу фізіологічних показників одного пацієнта (неінвазивний АТ, ЧСС, ЕКГ, SpO2, t) – щонайменше 3;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m. електронний сфігмоманометр або опція в поліфункціональному моніторі – щонайменше 3;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пульсоксиметр з неонатальним датчиком – щонайменше 4;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аспіратор (відсмоктувач) – щонайменше 6;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автоматичний дозатор лікувальних речовин та/або інфузійний насос (помповий інфузомат) – щонайменше 18;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ваги електронні для новонароджених;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амплітудно-інтегрований електроенцефалограф;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електронний ректальний термометр та обладнання для проведення системної (охолодження всього тіла) або селективної (краніоцеребральної) гіпотермії або засоби охолодження (гелеві пакети, мішки льодом, грілки, вентилятор тощо);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лампа фототерапії – щонайменше 3.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799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spacing w:lineRule="auto" w:line="240" w:before="113" w:after="15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 xml:space="preserve">Вимоги до переліку обладнання </w:t>
            </w: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>у</w:t>
            </w:r>
            <w:r>
              <w:rPr>
                <w:rFonts w:ascii="Times New Roman" w:hAnsi="Times New Roman"/>
                <w:b w:val="1"/>
                <w:i w:val="0"/>
                <w:bCs w:val="1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highlight w:val="white"/>
                <w:shd w:val="clear" w:color="auto" w:fill="FFFFFF"/>
                <w:vertAlign w:val="baseline"/>
                <w:lang/>
              </w:rPr>
              <w:t xml:space="preserve"> відділенні постінтенсивного виходжування для новонароджених та/або постнатального догляду</w:t>
            </w: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приєднання внутрішніх мереж відділення до автономного резервного джерела електропостачання відповідно до нормативно-технічних  документів;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киснем: із концентрацією кисню на рівні не менше 93±3% та тиском кисню на виході 0,4 МПа, що забезпечується шляхом системи централізованого постачання кисню та/або кисневих концентраторів зі швидкістю потоку кисню щонайменше 20 л/хв, в тому числі для забезпечення необхідного потоку та тиску кисню в системі для роботи апарата/ів ШВЛ;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ваги електронні для новонароджених;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пульсоксиметр з неонатальним датчиком – щонайменше 2;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глюкометр;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білірубінометр транскутантний;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термометр безконтактний;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крісло для кенгурування;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позиціонери для новонароджених.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61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120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Включення місць надання послуг в ліцензію на медичну практику.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включене обране місце надання послуг в ліцензію на медичну практику?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ліцензії на провадження господарської діяльності з медичної практики за спеціальністю неонатологія та/або дитяча анестезіологія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ліцензії на провадження господарської діяльності, пов’язаної з обігом наркотичних засобів, психотропних речовин і прекурсорів (зберігання, використання).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1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В.2.2-40:2018?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із звернення також необхідно подати додатки до нього, які слід прикріпити у вигляді сканованих документів у форматі PDF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 відомості (посилання) щодо наявності такої інформації в державному реєстрі, базі даних або інших інформаційних ресурсах (загальний розмір файлів не повинен перевищувати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49Мб)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Подаючи це звернення підтверджую достовірність наданої інформації, відповідність умовам закупівлі, та можливість надавати медичні послуги згідно із специфікацією.</w:t>
      </w:r>
    </w:p>
    <w:tbl>
      <w:tblPr>
        <w:tblW w:w="9781" w:type="dxa"/>
        <w:tblLook w:val="04A0"/>
      </w:tblPr>
      <w:tblGrid/>
      <w:tr>
        <w:trPr>
          <w:trHeight w:hRule="atLeast" w:val="27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</w:t>
            </w:r>
          </w:p>
        </w:tc>
      </w:tr>
    </w:tbl>
    <w:p>
      <w:pPr>
        <w:jc w:val="center"/>
      </w:pPr>
      <w:bookmarkStart w:id="0" w:name="_GoBack"/>
      <w:bookmarkEnd w:id="0"/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7" w:right="850" w:top="850" w:bottom="850" w:header="708" w:footer="708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  <w:lang w:val="ru-RU"/>
      </w:rPr>
      <w:t>#</w:t>
    </w:r>
    <w:r>
      <w:fldChar w:fldCharType="end"/>
    </w: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1AF220A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1FB0ECD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7F221AD"/>
    <w:multiLevelType w:val="hybridMultilevel"/>
    <w:lvl w:ilvl="0" w:tplc="22D2286C">
      <w:start w:val="1"/>
      <w:numFmt w:val="decimal"/>
      <w:suff w:val="space"/>
      <w:lvlText w:val="%1."/>
      <w:lvlJc w:val="left"/>
      <w:pPr>
        <w:ind w:hanging="360" w:left="107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9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1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3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5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7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9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1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30"/>
      </w:pPr>
      <w:rPr/>
    </w:lvl>
  </w:abstractNum>
  <w:abstractNum w:abstractNumId="3">
    <w:nsid w:val="36F76EB4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3A9D537D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4093D00"/>
    <w:multiLevelType w:val="hybridMultilevel"/>
    <w:lvl w:ilvl="0" w:tplc="FB64E494">
      <w:start w:val="1"/>
      <w:numFmt w:val="decimal"/>
      <w:suff w:val="space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464878A7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A933D79"/>
    <w:multiLevelType w:val="hybridMultilevel"/>
    <w:lvl w:ilvl="0" w:tplc="C53C3016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4B541A41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45DC9368">
      <w:start w:val="1"/>
      <w:numFmt w:val="lowerLetter"/>
      <w:suff w:val="space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53C86A16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56B22F73"/>
    <w:multiLevelType w:val="hybridMultilevel"/>
    <w:lvl w:ilvl="0" w:tplc="7DF8FA72">
      <w:start w:val="1"/>
      <w:numFmt w:val="decimal"/>
      <w:suff w:val="space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foot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">
    <w:name w:val="end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ий колонтитул Знак"/>
    <w:basedOn w:val="C0"/>
    <w:link w:val="P1"/>
    <w:rPr/>
  </w:style>
  <w:style w:type="character" w:styleId="C5">
    <w:name w:val="Нижний колонтитул Знак"/>
    <w:basedOn w:val="C0"/>
    <w:link w:val="P2"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Текст сноски Знак"/>
    <w:link w:val="P4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Текст концевой сноски Знак"/>
    <w:link w:val="P5"/>
    <w:semiHidden/>
    <w:rPr>
      <w:sz w:val="20"/>
      <w:szCs w:val="20"/>
    </w:rPr>
  </w:style>
  <w:style w:type="character" w:styleId="C10">
    <w:name w:val="Footnote Text Char"/>
    <w:semiHidden/>
    <w:rPr>
      <w:sz w:val="20"/>
      <w:szCs w:val="20"/>
    </w:rPr>
  </w:style>
  <w:style w:type="character" w:styleId="C11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5a8d-c9ef-4942-bf31-7813b62332df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Слободянюк Ірина Богданівна</dc:creator>
  <dcterms:created xsi:type="dcterms:W3CDTF">2021-12-01T02:57:00Z</dcterms:created>
  <cp:lastModifiedBy>pool-iis</cp:lastModifiedBy>
  <dcterms:modified xsi:type="dcterms:W3CDTF">2021-12-01T10:29:42Z</dcterms:modified>
  <cp:revision>6</cp:revision>
</cp:coreProperties>
</file>