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ОГОЛОШЕННЯ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 укладення договорів про медичне обслуговування населення за програмою медичних гарантій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щодо  надання медичних послуг  «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08" w14:textId="71774876" w:rsidR="006F0B51" w:rsidRDefault="009D2FA0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 </w:t>
      </w:r>
      <w:r w:rsidR="00EC796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</w:t>
      </w:r>
      <w:r w:rsidR="00EC796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7</w:t>
      </w:r>
      <w:r w:rsidR="00353C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.03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року </w:t>
      </w:r>
    </w:p>
    <w:p w14:paraId="00000009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6F0B51" w:rsidRDefault="009D2FA0" w:rsidP="0034273D">
      <w:pPr>
        <w:spacing w:line="256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Подання пропозицій та їх розгляд</w:t>
      </w:r>
    </w:p>
    <w:p w14:paraId="0000000D" w14:textId="3923A26B" w:rsidR="006F0B51" w:rsidRDefault="009D2FA0" w:rsidP="0034273D">
      <w:pPr>
        <w:numPr>
          <w:ilvl w:val="0"/>
          <w:numId w:val="4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 подання пропозиції спливає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70E79">
        <w:rPr>
          <w:rFonts w:ascii="Times New Roman" w:eastAsia="Times New Roman" w:hAnsi="Times New Roman" w:cs="Times New Roman"/>
          <w:b/>
          <w:sz w:val="24"/>
          <w:szCs w:val="24"/>
        </w:rPr>
        <w:t xml:space="preserve">23 годині 59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хвилин за київським часом </w:t>
      </w:r>
      <w:r w:rsidR="00353C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17 березня</w:t>
      </w:r>
      <w:r w:rsidR="00353C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 року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E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Пропозиції на укладення договору, у тому числі з усунутими недоліками (повторні), подані після закінчення строку подання, не розглядаються.</w:t>
      </w:r>
    </w:p>
    <w:p w14:paraId="0000000F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Якщо суб’єкту господарювання надіслано повідомлення про виправлення помилок у його пропозиції після граничної дати подання пропозицій, суб’єкт господарювання має право подати оновлену пропозицію протягом двох робочих днів з дня надіслання НСЗУ повідомлення про виправлення помилок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0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Заявник подає до НСЗУ пропозицію (заяву та додатки до неї) в електронній формі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шляхом заповнення електронних полів.</w:t>
      </w:r>
    </w:p>
    <w:p w14:paraId="00000011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Суб’єкт господарювання, який бажає укласти договір з НСЗУ на визначених в оголошенні умовах, до подання пропозиції повинен забезпечити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про:</w:t>
      </w:r>
    </w:p>
    <w:p w14:paraId="00000012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суб’єкт господарювання, місця надання ним медичних послуг та медичне обладнання, зазначене в оголошенні;</w:t>
      </w:r>
    </w:p>
    <w:p w14:paraId="00000013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ліцензію на провадження господарської діяльності з медичної практики (дата, строк дії, номер наказу, номер ліцензії та вид господарської діяльності, на право здійснення якого видано ліцензію)</w:t>
      </w:r>
    </w:p>
    <w:p w14:paraId="00000014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суб’єкти господарювання, які будуть залучені до виконання договору (підрядники);</w:t>
      </w:r>
    </w:p>
    <w:p w14:paraId="00000015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уповноважених осіб та медичних працівників, які будуть залучені до укладення або виконання договору.</w:t>
      </w:r>
    </w:p>
    <w:p w14:paraId="00000016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разі коли після подання пропозиції зазначена інформація змінюється, суб’єкт господарювання повинен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у той же день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внести відповідні зміни до електронної системи охорони здоров’я.</w:t>
      </w:r>
    </w:p>
    <w:p w14:paraId="00000017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 медичне обладнання, визначене в цьому Оголошенні, є обов’язковим за умови наявності відповідної технічної можливості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електронній системі охорони здоров’я.</w:t>
      </w:r>
    </w:p>
    <w:p w14:paraId="00000018" w14:textId="146DCA3B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НСЗУ розглядає пропозиції про укладення договору  до</w:t>
      </w:r>
      <w:r w:rsidR="00B762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71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березня 2020 року включно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9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Умови закупівлі медичних послуг, які будуть надаватись за Договором </w:t>
      </w:r>
    </w:p>
    <w:p w14:paraId="0000001B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6F0B51" w:rsidRPr="009D2FA0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FA0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послуг.</w:t>
      </w:r>
    </w:p>
    <w:p w14:paraId="0000001D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</w:pPr>
      <w:r w:rsidRPr="009D2F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E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Умови надання послуги: </w:t>
      </w:r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амбулаторно (в тому числі в умовах приймального відділення), за місцем проживання (перебування) пацієнта або з використанням засобів телекомунікації / телемедичних систем (за рішенням лікуючого лікаря).</w:t>
      </w:r>
    </w:p>
    <w:p w14:paraId="0000001F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20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Підстави надання послуги:</w:t>
      </w:r>
    </w:p>
    <w:p w14:paraId="00000021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 w:rsidRPr="009D2FA0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</w:t>
      </w: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направлення лікаря з надання ПМД, з яким укладено декларацію про вибір лікаря;</w:t>
      </w:r>
    </w:p>
    <w:p w14:paraId="00000022" w14:textId="6DAAEFD0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●</w:t>
      </w:r>
      <w:r w:rsidR="00073DAF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</w:t>
      </w: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направлення лікуючого лікаря;</w:t>
      </w:r>
    </w:p>
    <w:p w14:paraId="00000023" w14:textId="32908F2D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 w:rsidR="00073DAF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самозвернення до лікаря-акушера-гінеколога, лікаря-гінеколога дитячого та підліткового віку, лікаря-педіатра, лікаря-психіатра, лікаря-психіатра дитячого, лікаря-психіатра підліткового, лікаря-нарколога, лікаря-стоматолога, лікаря-стоматолога дитячого;</w:t>
      </w:r>
    </w:p>
    <w:p w14:paraId="00000024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 w:rsidRPr="009D2FA0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</w:t>
      </w: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самозвернення до лікаря, у якого пацієнт із хронічними захворюваннями перебуває під медичним наглядом;</w:t>
      </w:r>
    </w:p>
    <w:p w14:paraId="00000025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 w:rsidRPr="009D2FA0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самозвернення при невідкладному стані.</w:t>
      </w:r>
    </w:p>
    <w:p w14:paraId="00000026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27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Вимоги до спеціалізації та кількості фахівців:</w:t>
      </w:r>
    </w:p>
    <w:p w14:paraId="00000028" w14:textId="77777777" w:rsidR="006F0B51" w:rsidRPr="009D2FA0" w:rsidRDefault="009D2FA0" w:rsidP="0034273D">
      <w:pPr>
        <w:numPr>
          <w:ilvl w:val="0"/>
          <w:numId w:val="2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Лікар-акушер-гінеколог та/або лікар-алерголог, та/або лікар-гастроентеролог, та/або лікар-гематолог, та/або лікар-генетик, та/або лікар-дерматовенеролог, та/або лікар-ендокринолог, та/або лікар-ендоскопіст, та/або лікар-кардіолог, та/або лікар-ревматолог, та/або лікар-кардіолог інтервенційний, та/або лікар кардіолог-електрофізіолог, та/або лікар-комбустіолог, та/або лікар-невропатолог, та/або лікар-нефролог, та/або лікар-ортопед-травматолог, та/або лікар-отоларинголог, та/або лікар-офтальмолог, та/або лікар-психолог, та/або лікар-психіатр, та/або лікар-нарколог, та/або лікар-пульмонолог, та/або лікар-терапевт, та/або лікар-рентгенолог, та/або лікар-рефлексотерапевт, та/або лікар-стоматолог, та/або лікар-стоматолог-терапевт, та/або лікар-стоматолог-хірург, та/або лікар з ультразвукової діагностики, та/або лікар-уролог, та/або лікар-фізіотерапевт, та/або лікар-анестезіолог, та/або лікар-гінеколог-онколог, та/або лікар з функціональної діагностики, та/або лікар-фтизіатр, та/або лікар-хірург, та/або лікар-хірург-проктолог, та/або лікар-хірург-онколог, та/або лікар-радіолог, та/або лікар-хірург судинний, та/або лікар-хірург серцево-судинний, та/або лікар-хірург торакальний, та/або лікар з лікувальної фізкультури і спортивної медицини, та/або лікар з лікувальної фізкультури, та/або лікар-нейрохірург, та/або лікар-онколог, та/або лікар-імунолог, та/або лікар фізичної та реабілітаційної медицини, та/або лікар-імунолог клінічний, та/або лікар-отоларинголог-онколог, та/або лікар-інфекціоніст, та/або лікар-токсиколог, та/або лікар-сурдолог, та/або лікар-онколог дитячий, та/або лікар-гінеколог дитячого та підліткового віку, та/або лікар-ортопед-травматолог дитячий, та/або лікар-отоларинголог дитячий, та/або лікар-офтальмолог дитячий, та/або лікар-уролог дитячий, та/або лікар-хірург дитячий, та/або лікар-нейрохірург дитячий, та/або лікар-алерголог дитячий, та/або лікар-гастроентеролог дитячий, та/або лікар-гематолог дитячий, та/або лікар-дерматовенеролог дитячий, та/або лікар-ендокринолог дитячий, та/або лікар-імунолог дитячий, та/або лікар-кардіоревматолог дитячий, та/або лікар-ревматолог дитячий, та/або лікар-кардіолог дитячий,та/або лікар-невролог дитячий, та/або лікар-нефролог дитячий, та/або лікар-пульмонолог дитячий, та/або лікар-психіатр дитячий, та/або лікар-фтизіатр дитячий, та/або лікар-інфекціоніст дитячий, та/або лікар-педіатр, та/або лікар-педіатр-неонатолог, та/або лікар-анестезіолог дитячий, та/або лікар-стоматолог дитячий – щонайменше 2 особи з даного переліку, які працюють за основним місцем роботи в цьому закладі.</w:t>
      </w:r>
    </w:p>
    <w:p w14:paraId="00000029" w14:textId="77777777" w:rsidR="006F0B51" w:rsidRPr="009D2FA0" w:rsidRDefault="009D2FA0" w:rsidP="0034273D">
      <w:pPr>
        <w:numPr>
          <w:ilvl w:val="0"/>
          <w:numId w:val="2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Сестра медична – щонайменше 2 особи, які працюють за основним місцем роботи в цьому закладі.</w:t>
      </w:r>
    </w:p>
    <w:p w14:paraId="0000002B" w14:textId="097C24E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Інші вимоги:</w:t>
      </w:r>
    </w:p>
    <w:p w14:paraId="0000002C" w14:textId="77777777" w:rsidR="006F0B51" w:rsidRPr="009D2FA0" w:rsidRDefault="009D2FA0" w:rsidP="0034273D">
      <w:pPr>
        <w:numPr>
          <w:ilvl w:val="0"/>
          <w:numId w:val="8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програми з інфекційного контролю та дотримання заходів із запобігання інфекціям, пов’язаним з наданням медичної допомоги, відповідно до діючих наказів МОЗ України.</w:t>
      </w:r>
    </w:p>
    <w:p w14:paraId="0000002D" w14:textId="77777777" w:rsidR="006F0B51" w:rsidRPr="009D2FA0" w:rsidRDefault="009D2FA0" w:rsidP="0034273D">
      <w:pPr>
        <w:numPr>
          <w:ilvl w:val="0"/>
          <w:numId w:val="8"/>
        </w:numPr>
        <w:ind w:left="0" w:right="-752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Подання даних до електронної системи охорони здоров’я на постійній основі.</w:t>
      </w:r>
    </w:p>
    <w:p w14:paraId="0000002F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0" w14:textId="77777777" w:rsidR="006F0B51" w:rsidRDefault="009D2FA0" w:rsidP="0034273D">
      <w:pPr>
        <w:ind w:right="-7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Опис медичних послуг, які будуть надаватися за Договором (Специфікація) </w:t>
      </w:r>
    </w:p>
    <w:p w14:paraId="00000031" w14:textId="77777777" w:rsidR="006F0B51" w:rsidRDefault="006F0B51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наступний обсяг послуги (специфікація) відповідно до потреб пацієнта:</w:t>
      </w:r>
    </w:p>
    <w:p w14:paraId="00000033" w14:textId="77777777" w:rsidR="006F0B51" w:rsidRDefault="009D2FA0" w:rsidP="0034273D">
      <w:pPr>
        <w:numPr>
          <w:ilvl w:val="0"/>
          <w:numId w:val="7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Надання консультативної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вторинної (спеціалізованої) та третинної (високоспеціалізованої) </w:t>
      </w:r>
      <w:r>
        <w:rPr>
          <w:rFonts w:ascii="Times New Roman" w:eastAsia="Times New Roman" w:hAnsi="Times New Roman" w:cs="Times New Roman"/>
          <w:sz w:val="24"/>
          <w:szCs w:val="24"/>
        </w:rPr>
        <w:t>медичної допомоги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4" w14:textId="77777777" w:rsidR="006F0B51" w:rsidRDefault="009D2FA0" w:rsidP="0034273D">
      <w:pPr>
        <w:numPr>
          <w:ilvl w:val="0"/>
          <w:numId w:val="7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інструментальних методів обстеження (рентгенологічних, ендоскопічних, ультразвукових, електрофізіологічних) відповідно до галузевих стандартів у сфері охорони здоров’я.</w:t>
      </w:r>
    </w:p>
    <w:p w14:paraId="00000035" w14:textId="005EA0D4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Проведення загально-клінічних та біохімічних лабораторних обстежень, а також лабораторних досліджень з метаболічного скринінгу відповідно до чинного законодавства.</w:t>
      </w:r>
    </w:p>
    <w:p w14:paraId="00000036" w14:textId="76DF0E49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Лікування в амбулаторних умовах.</w:t>
      </w:r>
    </w:p>
    <w:p w14:paraId="00000037" w14:textId="08BD55BF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Організація спостереження за пацієнтами із хронічними захворюваннями.</w:t>
      </w:r>
    </w:p>
    <w:p w14:paraId="00000038" w14:textId="3213DE04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Проведення малих хірургічних операцій в амбулаторних умовах.</w:t>
      </w:r>
    </w:p>
    <w:p w14:paraId="00000039" w14:textId="77777777" w:rsidR="006F0B51" w:rsidRDefault="009D2FA0" w:rsidP="0034273D">
      <w:pPr>
        <w:numPr>
          <w:ilvl w:val="0"/>
          <w:numId w:val="6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вторинної (спеціалізованої) та третинної (високоспеціалізованої) медичної допомоги в умовах денного стаціонару.</w:t>
      </w:r>
    </w:p>
    <w:p w14:paraId="0000003A" w14:textId="375545D8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Ведення вагітності в амбулаторних умовах.</w:t>
      </w:r>
    </w:p>
    <w:p w14:paraId="0000003B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Надання послуг з медичної реабілітації в амбулаторних умовах, крім передбаченої іншими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пакетами медичних послуг.</w:t>
      </w:r>
    </w:p>
    <w:p w14:paraId="0000003C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Надання ургентної стоматологічної допомоги дорослим та дітям і планової стоматологічної дітям до 16 років, зокрема:</w:t>
      </w:r>
    </w:p>
    <w:p w14:paraId="0000003D" w14:textId="77777777" w:rsidR="006F0B51" w:rsidRDefault="009D2FA0" w:rsidP="0034273D">
      <w:pPr>
        <w:numPr>
          <w:ilvl w:val="0"/>
          <w:numId w:val="1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Надання планової стоматологічної допомоги дітям із наступними захворюваннями: </w:t>
      </w:r>
    </w:p>
    <w:p w14:paraId="0000003E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глибокі фісури тимчасових і постійних зубів;</w:t>
      </w:r>
    </w:p>
    <w:p w14:paraId="0000003F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карієс;</w:t>
      </w:r>
    </w:p>
    <w:p w14:paraId="00000040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порушення розвитку та прорізування зубів;</w:t>
      </w:r>
    </w:p>
    <w:p w14:paraId="00000041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системна гіпоплазія зубів;</w:t>
      </w:r>
    </w:p>
    <w:p w14:paraId="00000042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флюороз зубів;</w:t>
      </w:r>
    </w:p>
    <w:p w14:paraId="00000043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періодонтити (гострі, хронічні);</w:t>
      </w:r>
    </w:p>
    <w:p w14:paraId="00000044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пародонтит (локалізований, генералізований);</w:t>
      </w:r>
    </w:p>
    <w:p w14:paraId="00000045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</w:rPr>
        <w:t>гінгівіт (катаральний гінгівіт, гіпертрофічний, виразковий (гострий перебіг);</w:t>
      </w:r>
    </w:p>
    <w:p w14:paraId="00000046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захворювання слизової оболонки порожнини рота (герпетичний стоматит, виразково-некротичний гінгівостоматит, кандидози, багатоформна ексудативна еритема, лейкоплакія, червоний плескатий лишай;</w:t>
      </w:r>
    </w:p>
    <w:p w14:paraId="00000047" w14:textId="64392F38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травматичні пошкодження слизової оболонки порожнини рота.</w:t>
      </w:r>
    </w:p>
    <w:p w14:paraId="00000048" w14:textId="77777777" w:rsidR="006F0B51" w:rsidRDefault="009D2FA0" w:rsidP="0034273D">
      <w:pPr>
        <w:numPr>
          <w:ilvl w:val="0"/>
          <w:numId w:val="1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ургентної стоматологічної допомоги дітям із наступними захворюваннями:</w:t>
      </w:r>
    </w:p>
    <w:p w14:paraId="00000049" w14:textId="1B7CFD1A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пульпіти постійних і тимчасових зубів;</w:t>
      </w:r>
    </w:p>
    <w:p w14:paraId="0000004A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гострий періодонтит та загострений періодонтит постійних і тимчасових зубів;</w:t>
      </w:r>
    </w:p>
    <w:p w14:paraId="0000004B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гостра травма зубів;</w:t>
      </w:r>
    </w:p>
    <w:p w14:paraId="0000004C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виразково-некротичний стоматит Венсана;</w:t>
      </w:r>
    </w:p>
    <w:p w14:paraId="0000004D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виразково-некротичний гінгівіт;</w:t>
      </w:r>
    </w:p>
    <w:p w14:paraId="0000004E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герпетичний гінгіво-стоматит;</w:t>
      </w:r>
    </w:p>
    <w:p w14:paraId="0000004F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хімічні опіки слизової оболонки порожнини рота;</w:t>
      </w:r>
    </w:p>
    <w:p w14:paraId="00000050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гострі кандидози слизової оболонки порожнини рота;</w:t>
      </w:r>
    </w:p>
    <w:p w14:paraId="00000051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багатоформна ексудативна еритема;</w:t>
      </w:r>
    </w:p>
    <w:p w14:paraId="00000052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перикоронарит;</w:t>
      </w:r>
    </w:p>
    <w:p w14:paraId="00000053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періостит щелеп;     </w:t>
      </w:r>
    </w:p>
    <w:p w14:paraId="00000054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алвеоліт щелеп;</w:t>
      </w:r>
    </w:p>
    <w:p w14:paraId="00000055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абсцеси щелепно-лицевої ділянки;</w:t>
      </w:r>
    </w:p>
    <w:p w14:paraId="00000056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фурункули та карбункули щелепно-лицевої ділянки;</w:t>
      </w:r>
    </w:p>
    <w:p w14:paraId="00000057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гострі лімфаденіти щелепно-лицевої ділянки;</w:t>
      </w:r>
    </w:p>
    <w:p w14:paraId="00000058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запальні захворювання слинних залоз;</w:t>
      </w:r>
    </w:p>
    <w:p w14:paraId="00000059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</w:rPr>
        <w:t>травматичні ушкодження щелепно-лицевої ділянки (перелом/вивих зуба, вивих скронево-нижньощелепного суглоба);</w:t>
      </w:r>
    </w:p>
    <w:p w14:paraId="0000005A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травми м'яких тканин щелепно-лицевої ділянки, губ, слизової оболонки порожнини рота та язика;</w:t>
      </w:r>
    </w:p>
    <w:p w14:paraId="0000005B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невралгія трійчатого нерва.</w:t>
      </w:r>
    </w:p>
    <w:p w14:paraId="0000005C" w14:textId="77777777" w:rsidR="006F0B51" w:rsidRDefault="009D2FA0" w:rsidP="0034273D">
      <w:pPr>
        <w:numPr>
          <w:ilvl w:val="0"/>
          <w:numId w:val="1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ургентної стоматологічної допомоги дорослим із наступними захворюваннями:</w:t>
      </w:r>
    </w:p>
    <w:p w14:paraId="0000005D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пульпіт;</w:t>
      </w:r>
    </w:p>
    <w:p w14:paraId="0000005E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гострі та загострені періодонтити;</w:t>
      </w:r>
    </w:p>
    <w:p w14:paraId="0000005F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хімічні опіки слизової оболонки порожнини рота;</w:t>
      </w:r>
    </w:p>
    <w:p w14:paraId="00000060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виразково-некротичний стоматит Венсана;</w:t>
      </w:r>
    </w:p>
    <w:p w14:paraId="00000061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герпетичний гінгіво-стоматит;</w:t>
      </w:r>
    </w:p>
    <w:p w14:paraId="00000062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багатоформна ексудативна еритема;</w:t>
      </w:r>
    </w:p>
    <w:p w14:paraId="00000063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перикоронарит;</w:t>
      </w:r>
    </w:p>
    <w:p w14:paraId="00000064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періостит;</w:t>
      </w:r>
    </w:p>
    <w:p w14:paraId="00000065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альвеоліт щелепи;</w:t>
      </w:r>
    </w:p>
    <w:p w14:paraId="00000066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слинокам’яна хвороба;</w:t>
      </w:r>
    </w:p>
    <w:p w14:paraId="00000067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перелом зуба;</w:t>
      </w:r>
    </w:p>
    <w:p w14:paraId="00000068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вивих зуба;</w:t>
      </w:r>
    </w:p>
    <w:p w14:paraId="00000069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невралгія трійчастого нерва;</w:t>
      </w:r>
    </w:p>
    <w:p w14:paraId="0000006A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вивих висково-нижньощелепного суглоба;</w:t>
      </w:r>
    </w:p>
    <w:p w14:paraId="0000006B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абсцеси щелепно-лицевої ділянки;</w:t>
      </w:r>
    </w:p>
    <w:p w14:paraId="0000006C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карбункул і фурункул щелепно-лицевої ділянки;</w:t>
      </w:r>
    </w:p>
    <w:p w14:paraId="0000006D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травми м'яких тканин щелепно-лицевої ділянки, губ, слизової оболонки порожнини рота та язика.</w:t>
      </w:r>
    </w:p>
    <w:p w14:paraId="0000006E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Виклик, у разі потреби, бригади екстреної (швидкої) медичної допомоги до пацієнта та надання йому невідкладної медичної допомоги до прибуття бригади ЕМД.</w:t>
      </w:r>
    </w:p>
    <w:p w14:paraId="0000006F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Направлення пацієнта при наявності показань у заклади вторинної (спеціалізованої) чи третинної (високоспеціалізованої) медичної допомоги з іншої спеціалізації для надання йому медичної допомоги.</w:t>
      </w:r>
    </w:p>
    <w:p w14:paraId="00000070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1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2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00000073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Суб'єкт господарювання, який бажає укласти Договір з НСЗУ, повинен відповідати Вимогам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населення, затвердженим постановою Кабінету Міністрів України від 28 березня 2018 року № 391.</w:t>
      </w:r>
    </w:p>
    <w:p w14:paraId="00000076" w14:textId="77777777" w:rsidR="006F0B51" w:rsidRPr="00073DAF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77" w14:textId="77777777" w:rsidR="006F0B51" w:rsidRDefault="009D2FA0" w:rsidP="009D2FA0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D2F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Подати пропозицію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допомогу», перейшовши за цим посиланням.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https://smarttender.biz/</w:t>
        </w:r>
      </w:hyperlink>
    </w:p>
    <w:p w14:paraId="00000078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 час заповнення заяви необхідно:</w:t>
      </w:r>
    </w:p>
    <w:p w14:paraId="0000007A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 зазначити інформацію про підставу, відповідно до якої діє підписант договору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юридичних осіб автоматично зазначається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«діє на підставі Статуту»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фізичних осіб-підприємців - необхідно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вказати номер  та дату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запису в Єдиному державному реєстрі юридичних осіб, фізичних осіб-підприємців та громадських формувань)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000007B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обрати місця надання послуг, які будуть включені до договору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000007C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 статистичні дані за формою звітності № 20, затвердженою наказом МОЗ від 10.07.2007 № 378, за 2018 рік;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000007D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(суб’єкт господарювання, який було утворено в результаті злиття декількох закладів охорони здоров’я, та суб’єкт господарювання до якого було приєднано один або декілька закладів охорони здоров’я, зазначає сумарні статистичні дані закладів охорони здоров’я, правонаступником яких є)</w:t>
      </w:r>
    </w:p>
    <w:p w14:paraId="0000007E" w14:textId="12775549" w:rsidR="006F0B51" w:rsidRPr="00B24794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банківські реквізити</w:t>
      </w:r>
      <w:r w:rsidR="00410C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суб'єкта господарювання (IBAN)</w:t>
      </w:r>
      <w:r w:rsidR="00410C54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;</w:t>
      </w:r>
    </w:p>
    <w:p w14:paraId="0000007F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інформацію про підрядників, які будуть залучені до виконання договору в частині надання медичних послуг відповідно до цього Оголошення, вид медичних послуг, для надання яких будуть залучені підрядники, номер, дату та строк дії договору  укладеного з підрядником.</w:t>
      </w:r>
    </w:p>
    <w:p w14:paraId="00000080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помилка у банківських реквізитах може призвести до необхідності проходження повторної процедури укладення договору та, відповідно, до відтермінування оплати за надані послуги. Відповідальність за правильність банківських реквізитів, які автоматично будуть відображені у проекті договору, несе суб'єкт господарювання.</w:t>
      </w:r>
    </w:p>
    <w:p w14:paraId="00000082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Разом із заявою також необхідно подати додатки до неї, які слід прикріпити  у вигляді сканованих документів у форматі PDF (далі – пропозиція). </w:t>
      </w:r>
    </w:p>
    <w:p w14:paraId="00000086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7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додатків до пропозиції</w:t>
      </w:r>
    </w:p>
    <w:p w14:paraId="00000088" w14:textId="2504709D" w:rsidR="006F0B51" w:rsidRDefault="00073DAF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</w:t>
      </w:r>
      <w:r w:rsid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в електронній формі документа, що підтверджує повноваження представника (у разі підписання заяви та доданих до неї документів представником суб’єкта господарювання, крім випадку, коли відомості про повноваження представника містяться в Єдиному державному реєстрі юридичних осіб, фізичних осіб - підприємців та громадських формувань).</w:t>
      </w:r>
    </w:p>
    <w:p w14:paraId="00000089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чинної ліцензії на провадження господарської діяльності з медичної практики та сканована копія внесених змін, у разі їх наявності. Залежно від того, коли заклад отримав ліцензію, це може бути:</w:t>
      </w:r>
    </w:p>
    <w:p w14:paraId="0000008A" w14:textId="77777777" w:rsidR="006F0B51" w:rsidRDefault="009D2FA0" w:rsidP="0034273D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ліцензія на бланку, якщо документ отримано до 01 січня 2017 року;</w:t>
      </w:r>
    </w:p>
    <w:p w14:paraId="0000008B" w14:textId="77777777" w:rsidR="006F0B51" w:rsidRDefault="009D2FA0" w:rsidP="0034273D">
      <w:pPr>
        <w:numPr>
          <w:ilvl w:val="0"/>
          <w:numId w:val="3"/>
        </w:numPr>
        <w:spacing w:after="200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витяг з наказу МОЗ, якщо ліцензію отримано після 01 січня 2017 року.</w:t>
      </w:r>
    </w:p>
    <w:p w14:paraId="0000008C" w14:textId="02C43A7C" w:rsidR="006F0B51" w:rsidRDefault="006F0B51" w:rsidP="0034273D">
      <w:pPr>
        <w:spacing w:after="200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D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E" w14:textId="77777777" w:rsidR="006F0B51" w:rsidRDefault="009D2FA0" w:rsidP="0034273D">
      <w:pPr>
        <w:spacing w:line="256" w:lineRule="auto"/>
        <w:ind w:right="-752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Проект додатку до договору щодо спеціальних умов надання відповідних видів медичних послуг або груп медичних послуг</w:t>
      </w:r>
    </w:p>
    <w:p w14:paraId="00000091" w14:textId="77777777" w:rsidR="006F0B51" w:rsidRDefault="006F0B51" w:rsidP="0034273D">
      <w:pPr>
        <w:spacing w:after="160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6F0B51" w:rsidRDefault="009D2FA0" w:rsidP="0034273D">
      <w:pPr>
        <w:spacing w:after="160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Протягом десяти календарних днів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дати підписання проекту договору уповноваженою особою НСЗУ керівник або уповноважена особа суб’єкта господарювання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накладає електронний підпис на такий договір. Накладенням електронного підпису на договір уповноважена особа суб’єкта господарювання підтверджує, що суб’єкт господарювання відповідає умовам закупівлі та спроможний надавати медичні послуги згідно із специфікацією.</w:t>
      </w:r>
    </w:p>
    <w:p w14:paraId="00000093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94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Важливо:</w:t>
      </w:r>
    </w:p>
    <w:p w14:paraId="00000095" w14:textId="77777777" w:rsidR="006F0B51" w:rsidRDefault="009D2FA0" w:rsidP="0034273D">
      <w:pPr>
        <w:shd w:val="clear" w:color="auto" w:fill="FFFFFF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Договори відповідно до цього Оголошення укладаються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строк дії з 1 квітня по 31 грудня 2020 року.</w:t>
      </w:r>
    </w:p>
    <w:p w14:paraId="00000096" w14:textId="77777777" w:rsidR="006F0B51" w:rsidRDefault="009D2FA0" w:rsidP="0034273D">
      <w:pPr>
        <w:shd w:val="clear" w:color="auto" w:fill="FFFFFF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98" w14:textId="25C1FBB5" w:rsidR="006F0B51" w:rsidRDefault="009D2FA0" w:rsidP="00073DAF">
      <w:pPr>
        <w:shd w:val="clear" w:color="auto" w:fill="FFFFFF"/>
        <w:ind w:right="-752"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разі наявності будь-яких питань, які виникають під час заповнення заяви та/або подання пропозиції, звертайтеся на адресу електронної пошти: spetsdopomoga@nszu.gov.ua або на безкоштовну гарячу лінію 16-77, а також за телефонами Міжрегіональних департаментів НСЗУ: </w:t>
      </w:r>
    </w:p>
    <w:p w14:paraId="00000099" w14:textId="7EA319A1" w:rsidR="006F0B51" w:rsidRDefault="009D2FA0" w:rsidP="0034273D">
      <w:pPr>
        <w:numPr>
          <w:ilvl w:val="0"/>
          <w:numId w:val="5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Центральний міжрегіональний департамент (м. Київ, Київська обл., Житомирська обл., Вінницька обл., Черкаська обл.) -  (</w:t>
      </w:r>
      <w:r w:rsidR="000F7A24">
        <w:rPr>
          <w:rFonts w:ascii="Times New Roman" w:eastAsia="Times New Roman" w:hAnsi="Times New Roman" w:cs="Times New Roman"/>
          <w:sz w:val="24"/>
          <w:szCs w:val="24"/>
        </w:rPr>
        <w:t>044) 299 04 86, (044) 299 04 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A" w14:textId="77777777" w:rsidR="006F0B51" w:rsidRDefault="009D2FA0" w:rsidP="0034273D">
      <w:pPr>
        <w:numPr>
          <w:ilvl w:val="0"/>
          <w:numId w:val="5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Північний міжрегіональний департамент (Полтавська обл., Сумська обл., Харківська обл., Чернігівська обл.) -  (044) 299 04 96.</w:t>
      </w:r>
    </w:p>
    <w:p w14:paraId="0000009B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Південний міжрегіональний департамент (Миколаївська обл., Одеська обл., Херсонська обл., Автономна Республіка Крим)  - (048) 753 13 86.</w:t>
      </w:r>
    </w:p>
    <w:p w14:paraId="0000009C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Західний міжрегіональний департамент (Львівська обл., Тернопільська обл., Хмельницька обл., Чернівецька обл., Івано-Франківська обл., Закарпатська обл., Рівненська обл., Волинська обл.)  - (032) 259 30 18.</w:t>
      </w:r>
    </w:p>
    <w:p w14:paraId="0000009D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Східний міжрегіональний департамент (Дніпропетровська обл., Донецька обл., Запорізька обл., Кіровоградська обл., Луганська обл.) - 098 041 13 45.</w:t>
      </w:r>
    </w:p>
    <w:p w14:paraId="0000009E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0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1" w14:textId="52D5C571" w:rsidR="006F0B51" w:rsidRDefault="009D2FA0" w:rsidP="0034273D">
      <w:pPr>
        <w:spacing w:line="256" w:lineRule="auto"/>
        <w:ind w:right="-752" w:firstLine="70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F0B51" w:rsidSect="009D2FA0">
          <w:pgSz w:w="11909" w:h="16834"/>
          <w:pgMar w:top="1440" w:right="1440" w:bottom="568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EC796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00000A5" w14:textId="77777777" w:rsidR="006F0B51" w:rsidRDefault="006F0B51" w:rsidP="00EC796A">
      <w:pPr>
        <w:spacing w:line="256" w:lineRule="auto"/>
        <w:ind w:right="-75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6F0B51">
      <w:pgSz w:w="11909" w:h="16834"/>
      <w:pgMar w:top="1440" w:right="1440" w:bottom="1440" w:left="1440" w:header="720" w:footer="720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1240"/>
    <w:multiLevelType w:val="multilevel"/>
    <w:tmpl w:val="CF84B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B65C1E"/>
    <w:multiLevelType w:val="multilevel"/>
    <w:tmpl w:val="67349F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6A0CE8"/>
    <w:multiLevelType w:val="multilevel"/>
    <w:tmpl w:val="889681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5187387"/>
    <w:multiLevelType w:val="multilevel"/>
    <w:tmpl w:val="A0B0E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316E7E"/>
    <w:multiLevelType w:val="multilevel"/>
    <w:tmpl w:val="2A28ADE6"/>
    <w:lvl w:ilvl="0">
      <w:start w:val="1"/>
      <w:numFmt w:val="decimal"/>
      <w:lvlText w:val="%1."/>
      <w:lvlJc w:val="left"/>
      <w:pPr>
        <w:ind w:left="1440" w:hanging="731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7DA0668"/>
    <w:multiLevelType w:val="multilevel"/>
    <w:tmpl w:val="CAC217E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FCC5BED"/>
    <w:multiLevelType w:val="multilevel"/>
    <w:tmpl w:val="DFD825A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646175"/>
    <w:multiLevelType w:val="multilevel"/>
    <w:tmpl w:val="1108D2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51"/>
    <w:rsid w:val="00073DAF"/>
    <w:rsid w:val="000F7A24"/>
    <w:rsid w:val="00157189"/>
    <w:rsid w:val="0034273D"/>
    <w:rsid w:val="00353CA3"/>
    <w:rsid w:val="00410C54"/>
    <w:rsid w:val="005C0C70"/>
    <w:rsid w:val="006B75D5"/>
    <w:rsid w:val="006F0B51"/>
    <w:rsid w:val="009D2FA0"/>
    <w:rsid w:val="00B24794"/>
    <w:rsid w:val="00B70E79"/>
    <w:rsid w:val="00B762CF"/>
    <w:rsid w:val="00E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900B"/>
  <w15:docId w15:val="{9A4DF899-706F-40CC-9E95-FEC66A1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arttender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9582</Words>
  <Characters>5463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Наталія Миколаївна</dc:creator>
  <cp:lastModifiedBy>Слободянюк Ірина Богданівна</cp:lastModifiedBy>
  <cp:revision>9</cp:revision>
  <dcterms:created xsi:type="dcterms:W3CDTF">2020-03-06T08:58:00Z</dcterms:created>
  <dcterms:modified xsi:type="dcterms:W3CDTF">2020-03-17T08:54:00Z</dcterms:modified>
</cp:coreProperties>
</file>