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1CE6DFF" Type="http://schemas.openxmlformats.org/officeDocument/2006/relationships/officeDocument" Target="/word/document.xml" /><Relationship Id="coreR41CE6DF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1134" w:left="13040"/>
        <w:rPr>
          <w:rFonts w:ascii="Times New Roman" w:hAnsi="Times New Roman"/>
          <w:sz w:val="24"/>
          <w:highlight w:val="white"/>
        </w:rPr>
      </w:pPr>
      <w:bookmarkStart w:id="0" w:name="_GoBack"/>
      <w:bookmarkEnd w:id="0"/>
      <w:r>
        <w:rPr>
          <w:rFonts w:ascii="Times New Roman" w:hAnsi="Times New Roman"/>
          <w:sz w:val="24"/>
          <w:highlight w:val="white"/>
        </w:rPr>
        <w:t>Додаток ___</w:t>
      </w:r>
    </w:p>
    <w:p>
      <w:pPr>
        <w:spacing w:lineRule="auto" w:line="240" w:beforeAutospacing="0" w:afterAutospacing="0"/>
        <w:ind w:hanging="1134" w:left="13040"/>
        <w:rPr>
          <w:rFonts w:ascii="Times New Roman" w:hAnsi="Times New Roman"/>
          <w:sz w:val="24"/>
          <w:highlight w:val="white"/>
        </w:rPr>
      </w:pPr>
      <w:r>
        <w:rPr>
          <w:rFonts w:ascii="Times New Roman" w:hAnsi="Times New Roman"/>
          <w:sz w:val="24"/>
          <w:highlight w:val="white"/>
        </w:rPr>
        <w:t>до договору</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СПЕЦІАЛЬНІ УМОВИ</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надання інших медичних послуг</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w:t>
      </w:r>
      <w:r>
        <w:rPr>
          <w:rFonts w:ascii="Times New Roman" w:hAnsi="Times New Roman"/>
          <w:sz w:val="14"/>
          <w:highlight w:val="white"/>
        </w:rPr>
        <w:t xml:space="preserve">     </w:t>
      </w:r>
      <w:r>
        <w:rPr>
          <w:rFonts w:ascii="Times New Roman" w:hAnsi="Times New Roman"/>
          <w:sz w:val="24"/>
          <w:highlight w:val="white"/>
        </w:rPr>
        <w:t xml:space="preserve"> </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1.1. Надавач зобов’язується надавати згідно з договором такі медичні послуги</w:t>
      </w:r>
    </w:p>
    <w:p>
      <w:pPr>
        <w:spacing w:before="120" w:beforeAutospacing="0" w:afterAutospacing="0"/>
        <w:ind w:left="920"/>
        <w:jc w:val="both"/>
        <w:rPr>
          <w:rFonts w:ascii="Times New Roman" w:hAnsi="Times New Roman"/>
          <w:sz w:val="24"/>
          <w:highlight w:val="white"/>
        </w:rPr>
      </w:pPr>
      <w:r>
        <w:rPr>
          <w:rFonts w:ascii="Times New Roman" w:hAnsi="Times New Roman"/>
          <w:sz w:val="24"/>
          <w:highlight w:val="white"/>
        </w:rPr>
        <w:t xml:space="preserve"> </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15"/>
        </w:trPr>
        <w:tc>
          <w:tcPr>
            <w:tcW w:w="82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w:t>
            </w:r>
          </w:p>
        </w:tc>
        <w:tc>
          <w:tcPr>
            <w:tcW w:w="981"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Код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Назва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005"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Одиниця медичної послуги</w:t>
            </w:r>
          </w:p>
        </w:tc>
        <w:tc>
          <w:tcPr>
            <w:tcW w:w="1198"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w:t>
            </w:r>
          </w:p>
          <w:p>
            <w:pPr>
              <w:jc w:val="center"/>
              <w:rPr>
                <w:rFonts w:ascii="Times New Roman" w:hAnsi="Times New Roman"/>
                <w:b w:val="1"/>
                <w:sz w:val="16"/>
                <w:highlight w:val=""/>
              </w:rPr>
            </w:pPr>
            <w:r>
              <w:rPr>
                <w:rFonts w:ascii="Times New Roman" w:hAnsi="Times New Roman"/>
                <w:b w:val="1"/>
                <w:sz w:val="16"/>
                <w:highlight w:val=""/>
              </w:rPr>
              <w:t>кількість медичних послуг</w:t>
            </w:r>
          </w:p>
        </w:tc>
        <w:tc>
          <w:tcPr>
            <w:tcW w:w="1419" w:type="dxa"/>
            <w:gridSpan w:val="2"/>
            <w:tcBorders>
              <w:top w:val="single" w:sz="8" w:space="0" w:shadow="0" w:frame="0" w:color="000000"/>
              <w:bottom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 xml:space="preserve"> </w:t>
            </w:r>
          </w:p>
        </w:tc>
        <w:tc>
          <w:tcPr>
            <w:tcW w:w="6232" w:type="dxa"/>
            <w:gridSpan w:val="5"/>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w:t>
            </w:r>
          </w:p>
        </w:tc>
      </w:tr>
      <w:tr>
        <w:trPr>
          <w:trHeight w:hRule="atLeast" w:val="1310"/>
        </w:trPr>
        <w:tc>
          <w:tcPr>
            <w:tcW w:w="8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1214" w:type="dxa"/>
            <w:gridSpan w:val="2"/>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Тариф (ставка), грн</w:t>
            </w:r>
          </w:p>
        </w:tc>
        <w:tc>
          <w:tcPr>
            <w:tcW w:w="133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41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125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127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 грн</w:t>
            </w:r>
          </w:p>
        </w:tc>
      </w:tr>
      <w:tr>
        <w:trPr>
          <w:trHeight w:hRule="atLeast" w:val="2570"/>
        </w:trPr>
        <w:tc>
          <w:tcPr>
            <w:tcW w:w="824"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9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00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9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62"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14" w:type="dxa"/>
            <w:gridSpan w:val="2"/>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33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41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5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7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r>
      <w:tr>
        <w:trPr>
          <w:trHeight w:hRule="atLeast" w:val="215"/>
        </w:trPr>
        <w:tc>
          <w:tcPr>
            <w:tcW w:w="824" w:type="dxa"/>
            <w:shd w:val="clear" w:color="auto" w:fill="auto"/>
            <w:tcMar>
              <w:top w:w="100" w:type="dxa"/>
              <w:left w:w="100" w:type="dxa"/>
              <w:bottom w:w="100" w:type="dxa"/>
              <w:right w:w="100" w:type="dxa"/>
            </w:tcMar>
          </w:tcPr>
          <w:p>
            <w:pPr>
              <w:rPr>
                <w:highlight w:val="white"/>
              </w:rPr>
            </w:pPr>
          </w:p>
        </w:tc>
        <w:tc>
          <w:tcPr>
            <w:tcW w:w="98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2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33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41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5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7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r>
    </w:tbl>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1.2. Підрядники, які надають медичні послуги за договором, згідно з цим додатком</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935"/>
        </w:trPr>
        <w:tc>
          <w:tcPr>
            <w:tcW w:w="22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Найменування</w:t>
            </w:r>
          </w:p>
          <w:p>
            <w:pPr>
              <w:jc w:val="center"/>
              <w:rPr>
                <w:rFonts w:ascii="Times New Roman" w:hAnsi="Times New Roman"/>
                <w:b w:val="1"/>
                <w:sz w:val="16"/>
                <w:highlight w:val=""/>
              </w:rPr>
            </w:pPr>
            <w:r>
              <w:rPr>
                <w:rFonts w:ascii="Times New Roman" w:hAnsi="Times New Roman"/>
                <w:b w:val="1"/>
                <w:sz w:val="16"/>
                <w:highlight w:val=""/>
              </w:rPr>
              <w:t>підрядника</w:t>
            </w:r>
          </w:p>
        </w:tc>
        <w:tc>
          <w:tcPr>
            <w:tcW w:w="1427"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ЄДРПОУ</w:t>
            </w:r>
          </w:p>
          <w:p>
            <w:pPr>
              <w:jc w:val="cente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470"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Вид медичної</w:t>
            </w:r>
          </w:p>
          <w:p>
            <w:pPr>
              <w:jc w:val="center"/>
              <w:rPr>
                <w:rFonts w:ascii="Times New Roman" w:hAnsi="Times New Roman"/>
                <w:b w:val="1"/>
                <w:sz w:val="16"/>
                <w:highlight w:val=""/>
              </w:rPr>
            </w:pPr>
            <w:r>
              <w:rPr>
                <w:rFonts w:ascii="Times New Roman" w:hAnsi="Times New Roman"/>
                <w:b w:val="1"/>
                <w:sz w:val="16"/>
                <w:highlight w:val=""/>
              </w:rPr>
              <w:t>послуги/групи послуг</w:t>
            </w:r>
          </w:p>
        </w:tc>
        <w:tc>
          <w:tcPr>
            <w:tcW w:w="1568"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 договору з підрядником</w:t>
            </w:r>
          </w:p>
        </w:tc>
        <w:tc>
          <w:tcPr>
            <w:tcW w:w="1413"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укладення договору з підрядником</w:t>
            </w:r>
          </w:p>
        </w:tc>
        <w:tc>
          <w:tcPr>
            <w:tcW w:w="1356"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початку строку дії договору з підрядником</w:t>
            </w:r>
          </w:p>
        </w:tc>
        <w:tc>
          <w:tcPr>
            <w:tcW w:w="2275"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закінчення строку дії договору з підрядником</w:t>
            </w:r>
          </w:p>
        </w:tc>
      </w:tr>
      <w:tr>
        <w:trPr>
          <w:trHeight w:hRule="atLeast" w:val="1310"/>
        </w:trPr>
        <w:tc>
          <w:tcPr>
            <w:tcW w:w="2233" w:type="dxa"/>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427"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1470"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56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413"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356"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227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r>
    </w:tbl>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hanging="651" w:left="1360"/>
        <w:jc w:val="both"/>
        <w:rPr>
          <w:rFonts w:ascii="Times New Roman" w:hAnsi="Times New Roman"/>
          <w:sz w:val="24"/>
          <w:highlight w:val="white"/>
        </w:rPr>
      </w:pPr>
      <w:r>
        <w:rPr>
          <w:rFonts w:ascii="Times New Roman" w:hAnsi="Times New Roman"/>
          <w:sz w:val="24"/>
          <w:highlight w:val="white"/>
        </w:rPr>
        <w:t>2.</w:t>
      </w:r>
      <w:r>
        <w:rPr>
          <w:rFonts w:ascii="Times New Roman" w:hAnsi="Times New Roman"/>
          <w:sz w:val="14"/>
          <w:highlight w:val="white"/>
        </w:rPr>
        <w:t xml:space="preserve">     </w:t>
      </w:r>
      <w:r>
        <w:rPr>
          <w:rFonts w:ascii="Times New Roman" w:hAnsi="Times New Roman"/>
          <w:sz w:val="24"/>
          <w:highlight w:val="white"/>
        </w:rPr>
        <w:t>Запланована вартість медичних послуг становить _____________ гривень, у тому числі* ____________________.</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Звітним періодом є один календарний місяць.</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 xml:space="preserve">Надавач подає звіт про медичні послуги до 10 числа наступного звітного періоду. </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4. Гранична сума оплати за медичні послуги за відповідний місяць становить**</w:t>
      </w:r>
    </w:p>
    <w:tbl>
      <w:tblPr>
        <w:tblStyle w:val="T3"/>
        <w:tblW w:w="1396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00"/>
        </w:trPr>
        <w:tc>
          <w:tcPr>
            <w:tcW w:w="13756" w:type="dxa"/>
            <w:gridSpan w:val="7"/>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restart"/>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Період ,</w:t>
            </w:r>
          </w:p>
          <w:p>
            <w:pPr>
              <w:ind w:left="120"/>
              <w:jc w:val="center"/>
              <w:rPr>
                <w:rFonts w:ascii="Times New Roman" w:hAnsi="Times New Roman"/>
                <w:b w:val="1"/>
                <w:sz w:val="16"/>
                <w:highlight w:val=""/>
              </w:rPr>
            </w:pPr>
            <w:r>
              <w:rPr>
                <w:rFonts w:ascii="Times New Roman" w:hAnsi="Times New Roman"/>
                <w:b w:val="1"/>
                <w:sz w:val="16"/>
                <w:highlight w:val=""/>
              </w:rPr>
              <w:t>місяць</w:t>
            </w:r>
          </w:p>
        </w:tc>
        <w:tc>
          <w:tcPr>
            <w:tcW w:w="1668"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Запланована кількість медичних послуг</w:t>
            </w:r>
          </w:p>
        </w:tc>
        <w:tc>
          <w:tcPr>
            <w:tcW w:w="1967"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2324"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910"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2081"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2509"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Гранична сума оплати, грн</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66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6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3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1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509"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Серпень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Вересень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Жовтень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Листопад</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Грудень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bl>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pPr>
        <w:spacing w:before="120" w:beforeAutospacing="0" w:afterAutospacing="0"/>
        <w:ind w:hanging="11" w:left="720"/>
        <w:jc w:val="both"/>
        <w:rPr>
          <w:rFonts w:ascii="Times New Roman" w:hAnsi="Times New Roman"/>
          <w:sz w:val="24"/>
          <w:highlight w:val="white"/>
        </w:rPr>
      </w:pPr>
      <w:r>
        <w:rPr>
          <w:rFonts w:ascii="Times New Roman" w:hAnsi="Times New Roman"/>
          <w:sz w:val="24"/>
          <w:highlight w:val="white"/>
        </w:rPr>
        <w:t>5. Надавач зобов’язується:</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2) надавати медичні послуги в обсязі не меншому, ніж визначено в специфікації;</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інші обов’язки: своєчасно вносити до системи медичну документацію про медичне обслуговування пацієнтів.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6. Тарифи та коригувальні коефіцієнти визначаються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7. Інші умови</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7.1 – Умови закупівлі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7.2 – Специфікація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p>
    <w:p>
      <w:pPr>
        <w:spacing w:before="120" w:beforeAutospacing="0" w:afterAutospacing="0"/>
        <w:jc w:val="both"/>
        <w:rPr>
          <w:rFonts w:ascii="Times New Roman" w:hAnsi="Times New Roman"/>
          <w:sz w:val="20"/>
          <w:highlight w:val="white"/>
        </w:rPr>
      </w:pPr>
      <w:r>
        <w:rPr>
          <w:rFonts w:ascii="Times New Roman" w:hAnsi="Times New Roman"/>
          <w:sz w:val="24"/>
          <w:highlight w:val="white"/>
        </w:rPr>
        <w:t xml:space="preserve"> ___________________________________________________________.</w:t>
      </w:r>
    </w:p>
    <w:p>
      <w:pPr>
        <w:ind w:firstLine="720"/>
        <w:jc w:val="both"/>
        <w:rPr>
          <w:rFonts w:ascii="Times New Roman" w:hAnsi="Times New Roman"/>
          <w:sz w:val="20"/>
          <w:highlight w:val="white"/>
        </w:rPr>
      </w:pPr>
      <w:r>
        <w:rPr>
          <w:rFonts w:ascii="Times New Roman" w:hAnsi="Times New Roman"/>
          <w:sz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pPr>
        <w:jc w:val="both"/>
        <w:rPr>
          <w:rFonts w:ascii="Times New Roman" w:hAnsi="Times New Roman"/>
          <w:sz w:val="20"/>
          <w:highlight w:val="white"/>
        </w:rPr>
      </w:pPr>
      <w:r>
        <w:rPr>
          <w:rFonts w:ascii="Times New Roman" w:hAnsi="Times New Roman"/>
          <w:sz w:val="20"/>
          <w:highlight w:val="white"/>
        </w:rPr>
        <w:t xml:space="preserve"> </w:t>
      </w:r>
    </w:p>
    <w:p>
      <w:pPr>
        <w:jc w:val="both"/>
        <w:rPr>
          <w:rFonts w:ascii="Times New Roman" w:hAnsi="Times New Roman"/>
          <w:b w:val="1"/>
          <w:sz w:val="28"/>
          <w:highlight w:val="white"/>
        </w:rPr>
      </w:pPr>
      <w:r>
        <w:rPr>
          <w:rFonts w:ascii="Times New Roman" w:hAnsi="Times New Roman"/>
          <w:b w:val="1"/>
          <w:sz w:val="28"/>
          <w:highlight w:val="white"/>
        </w:rPr>
        <w:t xml:space="preserve"> </w:t>
      </w:r>
    </w:p>
    <w:p>
      <w:pPr>
        <w:rPr>
          <w:highlight w:val="white"/>
        </w:rPr>
      </w:pPr>
    </w:p>
    <w:sectPr>
      <w:type w:val="nextPage"/>
      <w:pgSz w:w="16838" w:h="11906"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2"/>
        <w:u w:val="none"/>
        <w:shd w:val="clear" w:color="auto" w:fill="auto"/>
        <w:vertAlign w:val="baseline"/>
        <w:lang w:val="uk" w:bidi="ar-SA" w:eastAsia="uk-UA"/>
      </w:rPr>
    </w:rPrDefault>
    <w:pPrDefault>
      <w:pPr>
        <w:keepNext w:val="0"/>
        <w:keepLines w:val="0"/>
        <w:widowControl w:val="1"/>
        <w:suppressLineNumbers w:val="0"/>
        <w:shd w:val="clear" w:fill="auto"/>
        <w:suppressAutoHyphens w:val="0"/>
        <w:spacing w:lineRule="auto" w:line="276"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rPr>
  </w:style>
  <w:style w:type="paragraph" w:styleId="P2">
    <w:name w:val="heading 2"/>
    <w:basedOn w:val="P0"/>
    <w:next w:val="P0"/>
    <w:pPr>
      <w:keepNext w:val="1"/>
      <w:keepLines w:val="1"/>
      <w:spacing w:before="360" w:after="120" w:beforeAutospacing="0" w:afterAutospacing="0"/>
      <w:outlineLvl w:val="1"/>
    </w:pPr>
    <w:rPr>
      <w:sz w:val="32"/>
    </w:rPr>
  </w:style>
  <w:style w:type="paragraph" w:styleId="P3">
    <w:name w:val="heading 3"/>
    <w:basedOn w:val="P0"/>
    <w:next w:val="P0"/>
    <w:pPr>
      <w:keepNext w:val="1"/>
      <w:keepLines w:val="1"/>
      <w:spacing w:before="320" w:after="80" w:beforeAutospacing="0" w:afterAutospacing="0"/>
      <w:outlineLvl w:val="2"/>
    </w:pPr>
    <w:rPr>
      <w:color w:val="434343"/>
      <w:sz w:val="28"/>
    </w:rPr>
  </w:style>
  <w:style w:type="paragraph" w:styleId="P4">
    <w:name w:val="heading 4"/>
    <w:basedOn w:val="P0"/>
    <w:next w:val="P0"/>
    <w:pPr>
      <w:keepNext w:val="1"/>
      <w:keepLines w:val="1"/>
      <w:spacing w:before="280" w:after="80" w:beforeAutospacing="0" w:afterAutospacing="0"/>
      <w:outlineLvl w:val="3"/>
    </w:pPr>
    <w:rPr>
      <w:color w:val="666666"/>
      <w:sz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rPr>
  </w:style>
  <w:style w:type="paragraph" w:styleId="P8">
    <w:name w:val="Subtitle"/>
    <w:basedOn w:val="P0"/>
    <w:next w:val="P0"/>
    <w:pPr>
      <w:keepNext w:val="1"/>
      <w:keepLines w:val="1"/>
      <w:spacing w:after="320" w:beforeAutospacing="0" w:afterAutospacing="0"/>
    </w:pPr>
    <w:rPr>
      <w:color w:val="666666"/>
      <w:sz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Наталія Миколаївна</dc:creator>
  <dcterms:created xsi:type="dcterms:W3CDTF">2020-03-06T09:00:00Z</dcterms:created>
  <cp:lastModifiedBy>IIS APPPOOL\askod-ode</cp:lastModifiedBy>
  <dcterms:modified xsi:type="dcterms:W3CDTF">2020-07-03T09:06:39Z</dcterms:modified>
  <cp:revision>3</cp:revision>
</cp:coreProperties>
</file>