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61C2585E" Type="http://schemas.openxmlformats.org/officeDocument/2006/relationships/officeDocument" Target="/word/document.xml" /><Relationship Id="coreR61C2585E"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beforeAutospacing="0" w:afterAutospacing="0"/>
        <w:ind w:hanging="1134" w:left="13040"/>
        <w:rPr>
          <w:rFonts w:ascii="Times New Roman" w:hAnsi="Times New Roman"/>
          <w:sz w:val="24"/>
          <w:highlight w:val="white"/>
        </w:rPr>
      </w:pPr>
      <w:bookmarkStart w:id="0" w:name="_GoBack"/>
      <w:bookmarkEnd w:id="0"/>
      <w:r>
        <w:rPr>
          <w:rFonts w:ascii="Times New Roman" w:hAnsi="Times New Roman"/>
          <w:sz w:val="24"/>
          <w:highlight w:val="white"/>
        </w:rPr>
        <w:t>Додаток ___</w:t>
      </w:r>
    </w:p>
    <w:p>
      <w:pPr>
        <w:spacing w:lineRule="auto" w:line="240" w:beforeAutospacing="0" w:afterAutospacing="0"/>
        <w:ind w:hanging="1134" w:left="13040"/>
        <w:rPr>
          <w:rFonts w:ascii="Times New Roman" w:hAnsi="Times New Roman"/>
          <w:sz w:val="24"/>
          <w:highlight w:val="white"/>
        </w:rPr>
      </w:pPr>
      <w:r>
        <w:rPr>
          <w:rFonts w:ascii="Times New Roman" w:hAnsi="Times New Roman"/>
          <w:sz w:val="24"/>
          <w:highlight w:val="white"/>
        </w:rPr>
        <w:t>до договору</w:t>
      </w:r>
    </w:p>
    <w:p>
      <w:pPr>
        <w:spacing w:lineRule="auto" w:line="240" w:beforeAutospacing="0" w:afterAutospacing="0"/>
        <w:jc w:val="center"/>
        <w:rPr>
          <w:rFonts w:ascii="Times New Roman" w:hAnsi="Times New Roman"/>
          <w:sz w:val="28"/>
          <w:highlight w:val="white"/>
        </w:rPr>
      </w:pPr>
      <w:r>
        <w:rPr>
          <w:rFonts w:ascii="Times New Roman" w:hAnsi="Times New Roman"/>
          <w:sz w:val="28"/>
          <w:highlight w:val="white"/>
        </w:rPr>
        <w:t>СПЕЦІАЛЬНІ УМОВИ</w:t>
      </w:r>
    </w:p>
    <w:p>
      <w:pPr>
        <w:spacing w:lineRule="auto" w:line="240" w:beforeAutospacing="0" w:afterAutospacing="0"/>
        <w:jc w:val="center"/>
        <w:rPr>
          <w:rFonts w:ascii="Times New Roman" w:hAnsi="Times New Roman"/>
          <w:sz w:val="28"/>
          <w:highlight w:val="white"/>
        </w:rPr>
      </w:pPr>
      <w:r>
        <w:rPr>
          <w:rFonts w:ascii="Times New Roman" w:hAnsi="Times New Roman"/>
          <w:sz w:val="28"/>
          <w:highlight w:val="white"/>
        </w:rPr>
        <w:t>надання інших медичних послуг</w:t>
      </w:r>
    </w:p>
    <w:p>
      <w:pPr>
        <w:spacing w:before="120" w:beforeAutospacing="0" w:afterAutospacing="0"/>
        <w:ind w:hanging="571" w:left="1280"/>
        <w:jc w:val="both"/>
        <w:rPr>
          <w:rFonts w:ascii="Times New Roman" w:hAnsi="Times New Roman"/>
          <w:sz w:val="24"/>
          <w:highlight w:val="white"/>
        </w:rPr>
      </w:pPr>
      <w:r>
        <w:rPr>
          <w:rFonts w:ascii="Times New Roman" w:hAnsi="Times New Roman"/>
          <w:sz w:val="24"/>
          <w:highlight w:val="white"/>
        </w:rPr>
        <w:t>1.</w:t>
      </w:r>
      <w:r>
        <w:rPr>
          <w:rFonts w:ascii="Times New Roman" w:hAnsi="Times New Roman"/>
          <w:sz w:val="14"/>
          <w:highlight w:val="white"/>
        </w:rPr>
        <w:t xml:space="preserve">     </w:t>
      </w:r>
      <w:r>
        <w:rPr>
          <w:rFonts w:ascii="Times New Roman" w:hAnsi="Times New Roman"/>
          <w:sz w:val="24"/>
          <w:highlight w:val="white"/>
        </w:rPr>
        <w:t xml:space="preserve"> </w:t>
      </w:r>
    </w:p>
    <w:p>
      <w:pPr>
        <w:spacing w:before="120" w:beforeAutospacing="0" w:afterAutospacing="0"/>
        <w:ind w:hanging="571" w:left="1280"/>
        <w:jc w:val="both"/>
        <w:rPr>
          <w:rFonts w:ascii="Times New Roman" w:hAnsi="Times New Roman"/>
          <w:sz w:val="24"/>
          <w:highlight w:val="white"/>
        </w:rPr>
      </w:pPr>
      <w:r>
        <w:rPr>
          <w:rFonts w:ascii="Times New Roman" w:hAnsi="Times New Roman"/>
          <w:sz w:val="24"/>
          <w:highlight w:val="white"/>
        </w:rPr>
        <w:t>1.1. Надавач зобов’язується надавати згідно з договором такі медичні послуги</w:t>
      </w:r>
    </w:p>
    <w:p>
      <w:pPr>
        <w:spacing w:before="120" w:beforeAutospacing="0" w:afterAutospacing="0"/>
        <w:ind w:left="920"/>
        <w:jc w:val="both"/>
        <w:rPr>
          <w:rFonts w:ascii="Times New Roman" w:hAnsi="Times New Roman"/>
          <w:sz w:val="24"/>
          <w:highlight w:val="white"/>
        </w:rPr>
      </w:pPr>
      <w:r>
        <w:rPr>
          <w:rFonts w:ascii="Times New Roman" w:hAnsi="Times New Roman"/>
          <w:sz w:val="24"/>
          <w:highlight w:val="white"/>
        </w:rPr>
        <w:t xml:space="preserve"> </w:t>
      </w:r>
    </w:p>
    <w:tbl>
      <w:tblPr>
        <w:tblStyle w:val="T3"/>
        <w:tblW w:w="13964" w:type="dxa"/>
        <w:tblInd w:w="0"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000000"/>
          <w:insideV w:val="none" w:sz="0" w:space="0" w:shadow="0" w:frame="0" w:color="000000"/>
        </w:tblBorders>
        <w:tblLayout w:type="fixed"/>
        <w:tblLook w:val="0600"/>
      </w:tblPr>
      <w:tblGrid/>
      <w:tr>
        <w:trPr>
          <w:trHeight w:hRule="atLeast" w:val="515"/>
        </w:trPr>
        <w:tc>
          <w:tcPr>
            <w:tcW w:w="824" w:type="dxa"/>
            <w:vMerge w:val="restart"/>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Номер</w:t>
            </w:r>
          </w:p>
        </w:tc>
        <w:tc>
          <w:tcPr>
            <w:tcW w:w="981" w:type="dxa"/>
            <w:vMerge w:val="restart"/>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Код медичної послуги або групи послуг</w:t>
            </w:r>
          </w:p>
        </w:tc>
        <w:tc>
          <w:tcPr>
            <w:tcW w:w="1150" w:type="dxa"/>
            <w:vMerge w:val="restart"/>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Назва медичної послуги або групи послуг</w:t>
            </w:r>
          </w:p>
        </w:tc>
        <w:tc>
          <w:tcPr>
            <w:tcW w:w="1150" w:type="dxa"/>
            <w:vMerge w:val="restart"/>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Адреса місця надання медичних послуг</w:t>
            </w:r>
          </w:p>
        </w:tc>
        <w:tc>
          <w:tcPr>
            <w:tcW w:w="1005" w:type="dxa"/>
            <w:vMerge w:val="restart"/>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rFonts w:ascii="Times New Roman" w:hAnsi="Times New Roman"/>
                <w:b w:val="1"/>
                <w:sz w:val="16"/>
                <w:highlight w:val=""/>
              </w:rPr>
            </w:pPr>
            <w:r>
              <w:rPr>
                <w:rFonts w:ascii="Times New Roman" w:hAnsi="Times New Roman"/>
                <w:b w:val="1"/>
                <w:sz w:val="16"/>
                <w:highlight w:val=""/>
              </w:rPr>
              <w:t>Одиниця медичної послуги</w:t>
            </w:r>
          </w:p>
        </w:tc>
        <w:tc>
          <w:tcPr>
            <w:tcW w:w="1198" w:type="dxa"/>
            <w:vMerge w:val="restart"/>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Запланована</w:t>
            </w:r>
          </w:p>
          <w:p>
            <w:pPr>
              <w:jc w:val="center"/>
              <w:rPr>
                <w:rFonts w:ascii="Times New Roman" w:hAnsi="Times New Roman"/>
                <w:b w:val="1"/>
                <w:sz w:val="16"/>
                <w:highlight w:val=""/>
              </w:rPr>
            </w:pPr>
            <w:r>
              <w:rPr>
                <w:rFonts w:ascii="Times New Roman" w:hAnsi="Times New Roman"/>
                <w:b w:val="1"/>
                <w:sz w:val="16"/>
                <w:highlight w:val=""/>
              </w:rPr>
              <w:t>кількість медичних послуг</w:t>
            </w:r>
          </w:p>
        </w:tc>
        <w:tc>
          <w:tcPr>
            <w:tcW w:w="1419" w:type="dxa"/>
            <w:gridSpan w:val="2"/>
            <w:tcBorders>
              <w:top w:val="single" w:sz="8" w:space="0" w:shadow="0" w:frame="0" w:color="000000"/>
              <w:bottom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 xml:space="preserve"> </w:t>
            </w:r>
          </w:p>
        </w:tc>
        <w:tc>
          <w:tcPr>
            <w:tcW w:w="6232" w:type="dxa"/>
            <w:gridSpan w:val="5"/>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Запланована вартість медичних послуг</w:t>
            </w:r>
          </w:p>
        </w:tc>
      </w:tr>
      <w:tr>
        <w:trPr>
          <w:trHeight w:hRule="atLeast" w:val="1310"/>
        </w:trPr>
        <w:tc>
          <w:tcPr>
            <w:tcW w:w="824"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981"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50"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50"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005"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98"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62"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Глобальний бюджет, грн</w:t>
            </w:r>
          </w:p>
        </w:tc>
        <w:tc>
          <w:tcPr>
            <w:tcW w:w="1214" w:type="dxa"/>
            <w:gridSpan w:val="2"/>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Тариф (ставка), грн</w:t>
            </w:r>
          </w:p>
        </w:tc>
        <w:tc>
          <w:tcPr>
            <w:tcW w:w="1331"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Коригувальні коефіцієнти</w:t>
            </w:r>
          </w:p>
        </w:tc>
        <w:tc>
          <w:tcPr>
            <w:tcW w:w="1415"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Значення коефіцієнтів</w:t>
            </w:r>
          </w:p>
        </w:tc>
        <w:tc>
          <w:tcPr>
            <w:tcW w:w="1258"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Бюджет оплати за випадок/послугу, грн</w:t>
            </w:r>
          </w:p>
        </w:tc>
        <w:tc>
          <w:tcPr>
            <w:tcW w:w="1271"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Запланована вартість медичних послуг, грн</w:t>
            </w:r>
          </w:p>
        </w:tc>
      </w:tr>
      <w:tr>
        <w:trPr>
          <w:trHeight w:hRule="atLeast" w:val="2570"/>
        </w:trPr>
        <w:tc>
          <w:tcPr>
            <w:tcW w:w="824"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9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115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115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1005"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119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1162"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right"/>
              <w:rPr>
                <w:sz w:val="16"/>
                <w:highlight w:val="white"/>
              </w:rPr>
            </w:pPr>
            <w:r>
              <w:rPr>
                <w:sz w:val="16"/>
                <w:highlight w:val="white"/>
              </w:rPr>
              <w:t xml:space="preserve"> </w:t>
            </w:r>
          </w:p>
        </w:tc>
        <w:tc>
          <w:tcPr>
            <w:tcW w:w="1214" w:type="dxa"/>
            <w:gridSpan w:val="2"/>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right"/>
              <w:rPr>
                <w:sz w:val="16"/>
                <w:highlight w:val="white"/>
              </w:rPr>
            </w:pPr>
            <w:r>
              <w:rPr>
                <w:sz w:val="16"/>
                <w:highlight w:val="white"/>
              </w:rPr>
              <w:t xml:space="preserve"> </w:t>
            </w:r>
          </w:p>
        </w:tc>
        <w:tc>
          <w:tcPr>
            <w:tcW w:w="133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1415"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right"/>
              <w:rPr>
                <w:sz w:val="16"/>
                <w:highlight w:val="white"/>
              </w:rPr>
            </w:pPr>
            <w:r>
              <w:rPr>
                <w:sz w:val="16"/>
                <w:highlight w:val="white"/>
              </w:rPr>
              <w:t xml:space="preserve"> </w:t>
            </w:r>
          </w:p>
        </w:tc>
        <w:tc>
          <w:tcPr>
            <w:tcW w:w="125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right"/>
              <w:rPr>
                <w:sz w:val="16"/>
                <w:highlight w:val="white"/>
              </w:rPr>
            </w:pPr>
            <w:r>
              <w:rPr>
                <w:sz w:val="16"/>
                <w:highlight w:val="white"/>
              </w:rPr>
              <w:t xml:space="preserve"> </w:t>
            </w:r>
          </w:p>
        </w:tc>
        <w:tc>
          <w:tcPr>
            <w:tcW w:w="127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right"/>
              <w:rPr>
                <w:sz w:val="16"/>
                <w:highlight w:val="white"/>
              </w:rPr>
            </w:pPr>
            <w:r>
              <w:rPr>
                <w:sz w:val="16"/>
                <w:highlight w:val="white"/>
              </w:rPr>
              <w:t xml:space="preserve"> </w:t>
            </w:r>
          </w:p>
        </w:tc>
      </w:tr>
      <w:tr>
        <w:trPr>
          <w:trHeight w:hRule="atLeast" w:val="215"/>
        </w:trPr>
        <w:tc>
          <w:tcPr>
            <w:tcW w:w="824" w:type="dxa"/>
            <w:shd w:val="clear" w:color="auto" w:fill="auto"/>
            <w:tcMar>
              <w:top w:w="100" w:type="dxa"/>
              <w:left w:w="100" w:type="dxa"/>
              <w:bottom w:w="100" w:type="dxa"/>
              <w:right w:w="100" w:type="dxa"/>
            </w:tcMar>
          </w:tcPr>
          <w:p>
            <w:pPr>
              <w:rPr>
                <w:highlight w:val="white"/>
              </w:rPr>
            </w:pPr>
          </w:p>
        </w:tc>
        <w:tc>
          <w:tcPr>
            <w:tcW w:w="981"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50"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50"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005"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98"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62"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257"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957"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331"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415"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258"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271"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r>
    </w:tbl>
    <w:p>
      <w:pPr>
        <w:spacing w:before="120" w:beforeAutospacing="0" w:afterAutospacing="0"/>
        <w:ind w:hanging="571" w:left="1280"/>
        <w:jc w:val="both"/>
        <w:rPr>
          <w:rFonts w:ascii="Times New Roman" w:hAnsi="Times New Roman"/>
          <w:sz w:val="24"/>
          <w:highlight w:val="white"/>
        </w:rPr>
      </w:pPr>
      <w:r>
        <w:rPr>
          <w:rFonts w:ascii="Times New Roman" w:hAnsi="Times New Roman"/>
          <w:sz w:val="24"/>
          <w:highlight w:val="white"/>
        </w:rPr>
        <w:t>1.2. Підрядники, які надають медичні послуги за договором, згідно з цим додатком</w:t>
      </w:r>
    </w:p>
    <w:tbl>
      <w:tblPr>
        <w:tblStyle w:val="T3"/>
        <w:tblW w:w="13964" w:type="dxa"/>
        <w:tblInd w:w="0"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000000"/>
          <w:insideV w:val="none" w:sz="0" w:space="0" w:shadow="0" w:frame="0" w:color="000000"/>
        </w:tblBorders>
        <w:tblLayout w:type="fixed"/>
        <w:tblLook w:val="0600"/>
      </w:tblPr>
      <w:tblGrid/>
      <w:tr>
        <w:trPr>
          <w:trHeight w:hRule="atLeast" w:val="935"/>
        </w:trPr>
        <w:tc>
          <w:tcPr>
            <w:tcW w:w="2233"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Найменування</w:t>
            </w:r>
          </w:p>
          <w:p>
            <w:pPr>
              <w:jc w:val="center"/>
              <w:rPr>
                <w:rFonts w:ascii="Times New Roman" w:hAnsi="Times New Roman"/>
                <w:b w:val="1"/>
                <w:sz w:val="16"/>
                <w:highlight w:val=""/>
              </w:rPr>
            </w:pPr>
            <w:r>
              <w:rPr>
                <w:rFonts w:ascii="Times New Roman" w:hAnsi="Times New Roman"/>
                <w:b w:val="1"/>
                <w:sz w:val="16"/>
                <w:highlight w:val=""/>
              </w:rPr>
              <w:t>підрядника</w:t>
            </w:r>
          </w:p>
        </w:tc>
        <w:tc>
          <w:tcPr>
            <w:tcW w:w="1427"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ЄДРПОУ</w:t>
            </w:r>
          </w:p>
          <w:p>
            <w:pPr>
              <w:jc w:val="center"/>
              <w:rPr>
                <w:rFonts w:ascii="Times New Roman" w:hAnsi="Times New Roman"/>
                <w:b w:val="1"/>
                <w:sz w:val="16"/>
                <w:highlight w:val=""/>
              </w:rPr>
            </w:pPr>
            <w:r>
              <w:rPr>
                <w:rFonts w:ascii="Times New Roman" w:hAnsi="Times New Roman"/>
                <w:b w:val="1"/>
                <w:sz w:val="16"/>
                <w:highlight w:val=""/>
              </w:rPr>
              <w:t xml:space="preserve"> </w:t>
            </w:r>
          </w:p>
        </w:tc>
        <w:tc>
          <w:tcPr>
            <w:tcW w:w="2219"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Адреса місця надання медичних послуг</w:t>
            </w:r>
          </w:p>
        </w:tc>
        <w:tc>
          <w:tcPr>
            <w:tcW w:w="1470"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Вид медичної</w:t>
            </w:r>
          </w:p>
          <w:p>
            <w:pPr>
              <w:jc w:val="center"/>
              <w:rPr>
                <w:rFonts w:ascii="Times New Roman" w:hAnsi="Times New Roman"/>
                <w:b w:val="1"/>
                <w:sz w:val="16"/>
                <w:highlight w:val=""/>
              </w:rPr>
            </w:pPr>
            <w:r>
              <w:rPr>
                <w:rFonts w:ascii="Times New Roman" w:hAnsi="Times New Roman"/>
                <w:b w:val="1"/>
                <w:sz w:val="16"/>
                <w:highlight w:val=""/>
              </w:rPr>
              <w:t>послуги/групи послуг</w:t>
            </w:r>
          </w:p>
        </w:tc>
        <w:tc>
          <w:tcPr>
            <w:tcW w:w="1568"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Номер договору з підрядником</w:t>
            </w:r>
          </w:p>
        </w:tc>
        <w:tc>
          <w:tcPr>
            <w:tcW w:w="1413"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Дата укладення договору з підрядником</w:t>
            </w:r>
          </w:p>
        </w:tc>
        <w:tc>
          <w:tcPr>
            <w:tcW w:w="1356"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Дата початку строку дії договору з підрядником</w:t>
            </w:r>
          </w:p>
        </w:tc>
        <w:tc>
          <w:tcPr>
            <w:tcW w:w="2275"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Дата закінчення строку дії договору з підрядником</w:t>
            </w:r>
          </w:p>
        </w:tc>
      </w:tr>
      <w:tr>
        <w:trPr>
          <w:trHeight w:hRule="atLeast" w:val="1310"/>
        </w:trPr>
        <w:tc>
          <w:tcPr>
            <w:tcW w:w="2233" w:type="dxa"/>
            <w:tcBorders>
              <w:left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rFonts w:ascii="Times New Roman" w:hAnsi="Times New Roman"/>
                <w:b w:val="1"/>
                <w:sz w:val="16"/>
                <w:highlight w:val=""/>
              </w:rPr>
            </w:pPr>
            <w:r>
              <w:rPr>
                <w:rFonts w:ascii="Times New Roman" w:hAnsi="Times New Roman"/>
                <w:b w:val="1"/>
                <w:sz w:val="16"/>
                <w:highlight w:val=""/>
              </w:rPr>
              <w:t xml:space="preserve"> </w:t>
            </w:r>
          </w:p>
        </w:tc>
        <w:tc>
          <w:tcPr>
            <w:tcW w:w="1427"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rFonts w:ascii="Times New Roman" w:hAnsi="Times New Roman"/>
                <w:b w:val="1"/>
                <w:sz w:val="16"/>
                <w:highlight w:val=""/>
              </w:rPr>
            </w:pPr>
            <w:r>
              <w:rPr>
                <w:rFonts w:ascii="Times New Roman" w:hAnsi="Times New Roman"/>
                <w:b w:val="1"/>
                <w:sz w:val="16"/>
                <w:highlight w:val=""/>
              </w:rPr>
              <w:t xml:space="preserve"> </w:t>
            </w:r>
          </w:p>
        </w:tc>
        <w:tc>
          <w:tcPr>
            <w:tcW w:w="2219"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highlight w:val=""/>
              </w:rPr>
            </w:pPr>
          </w:p>
        </w:tc>
        <w:tc>
          <w:tcPr>
            <w:tcW w:w="1470"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
              </w:rPr>
            </w:pPr>
          </w:p>
        </w:tc>
        <w:tc>
          <w:tcPr>
            <w:tcW w:w="1568"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
              </w:rPr>
            </w:pPr>
          </w:p>
        </w:tc>
        <w:tc>
          <w:tcPr>
            <w:tcW w:w="1413"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rFonts w:ascii="Times New Roman" w:hAnsi="Times New Roman"/>
                <w:b w:val="1"/>
                <w:sz w:val="16"/>
                <w:highlight w:val=""/>
              </w:rPr>
            </w:pPr>
            <w:r>
              <w:rPr>
                <w:rFonts w:ascii="Times New Roman" w:hAnsi="Times New Roman"/>
                <w:b w:val="1"/>
                <w:sz w:val="16"/>
                <w:highlight w:val=""/>
              </w:rPr>
              <w:t xml:space="preserve"> </w:t>
            </w:r>
          </w:p>
        </w:tc>
        <w:tc>
          <w:tcPr>
            <w:tcW w:w="1356"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highlight w:val=""/>
              </w:rPr>
            </w:pPr>
          </w:p>
        </w:tc>
        <w:tc>
          <w:tcPr>
            <w:tcW w:w="2275"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rFonts w:ascii="Times New Roman" w:hAnsi="Times New Roman"/>
                <w:b w:val="1"/>
                <w:sz w:val="16"/>
                <w:highlight w:val=""/>
              </w:rPr>
            </w:pPr>
            <w:r>
              <w:rPr>
                <w:rFonts w:ascii="Times New Roman" w:hAnsi="Times New Roman"/>
                <w:b w:val="1"/>
                <w:sz w:val="16"/>
                <w:highlight w:val=""/>
              </w:rPr>
              <w:t xml:space="preserve"> </w:t>
            </w:r>
          </w:p>
        </w:tc>
      </w:tr>
    </w:tbl>
    <w:p>
      <w:pPr>
        <w:spacing w:before="120" w:beforeAutospacing="0" w:afterAutospacing="0"/>
        <w:jc w:val="both"/>
        <w:rPr>
          <w:rFonts w:ascii="Times New Roman" w:hAnsi="Times New Roman"/>
          <w:sz w:val="24"/>
          <w:highlight w:val="white"/>
        </w:rPr>
      </w:pPr>
      <w:r>
        <w:rPr>
          <w:rFonts w:ascii="Times New Roman" w:hAnsi="Times New Roman"/>
          <w:sz w:val="24"/>
          <w:highlight w:val="white"/>
        </w:rPr>
        <w:t xml:space="preserve"> </w:t>
      </w:r>
    </w:p>
    <w:p>
      <w:pPr>
        <w:spacing w:before="120" w:beforeAutospacing="0" w:afterAutospacing="0"/>
        <w:jc w:val="both"/>
        <w:rPr>
          <w:rFonts w:ascii="Times New Roman" w:hAnsi="Times New Roman"/>
          <w:sz w:val="24"/>
          <w:highlight w:val="white"/>
        </w:rPr>
      </w:pPr>
      <w:r>
        <w:rPr>
          <w:rFonts w:ascii="Times New Roman" w:hAnsi="Times New Roman"/>
          <w:sz w:val="24"/>
          <w:highlight w:val="white"/>
        </w:rPr>
        <w:t xml:space="preserve"> </w:t>
      </w:r>
    </w:p>
    <w:p>
      <w:pPr>
        <w:spacing w:before="120" w:beforeAutospacing="0" w:afterAutospacing="0"/>
        <w:ind w:hanging="651" w:left="1360"/>
        <w:jc w:val="both"/>
        <w:rPr>
          <w:rFonts w:ascii="Times New Roman" w:hAnsi="Times New Roman"/>
          <w:sz w:val="24"/>
          <w:highlight w:val="white"/>
        </w:rPr>
      </w:pPr>
      <w:r>
        <w:rPr>
          <w:rFonts w:ascii="Times New Roman" w:hAnsi="Times New Roman"/>
          <w:sz w:val="24"/>
          <w:highlight w:val="white"/>
        </w:rPr>
        <w:t>2.</w:t>
      </w:r>
      <w:r>
        <w:rPr>
          <w:rFonts w:ascii="Times New Roman" w:hAnsi="Times New Roman"/>
          <w:sz w:val="14"/>
          <w:highlight w:val="white"/>
        </w:rPr>
        <w:t xml:space="preserve">     </w:t>
      </w:r>
      <w:r>
        <w:rPr>
          <w:rFonts w:ascii="Times New Roman" w:hAnsi="Times New Roman"/>
          <w:sz w:val="24"/>
          <w:highlight w:val="white"/>
        </w:rPr>
        <w:t>Запланована вартість медичних послуг становить _____________ гривень, у тому числі* ____________________.</w:t>
      </w:r>
    </w:p>
    <w:p>
      <w:pPr>
        <w:spacing w:before="120" w:beforeAutospacing="0" w:afterAutospacing="0"/>
        <w:jc w:val="both"/>
        <w:rPr>
          <w:rFonts w:ascii="Times New Roman" w:hAnsi="Times New Roman"/>
          <w:sz w:val="24"/>
          <w:highlight w:val="white"/>
        </w:rPr>
      </w:pPr>
      <w:r>
        <w:rPr>
          <w:rFonts w:ascii="Times New Roman" w:hAnsi="Times New Roman"/>
          <w:sz w:val="24"/>
          <w:highlight w:val="white"/>
        </w:rPr>
        <w:t>Сторони можуть протягом строку дії договору переглядати заплановану вартість медичних послуг із внесенням відповідних змін до нього.</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3. Звітним періодом є один календарний місяць.</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 xml:space="preserve">Надавач подає звіт про медичні послуги до 10 числа наступного звітного періоду. </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У звіті про медичні послуги зазначаються усі послуги за договором, про надання яких станом на 23 годину 59 хвилин останнього дня звітного періоду внесено інформацію до електронної системи охорони здоров’я (далі - система).</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Звіт про медичні послуги за останній звітний період подається до 23 грудня та повинен містити дані про надані послуги, інформація про які внесена до системи станом на 23 годину 59 хвилин 20 грудня. Послуги, надані після 20 грудня, включаються до звіту про медичні послуги за січень наступного року відповідно до умов договору.</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Разом із звітом про медичні послуги надавач подає рахунок, в якому зазначається сума до сплати за звітний період.</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У разі здійснення авансового платежу надавач подає звіт про медичні послуги у строки, встановлені цим пунктом, але не пізніше ніж за два робочих дні до граничного строку для подання замовником підтвердних документів органам Казначейства відповідно до законодавства.</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Разом із звітом про медичні послуги надавач подає рахунок, в якому зазначається сума до сплати за звітний період, крім сплаченої попередньої оплати за такі послуги. У разі здійснення авансового платежу у рахунку також зазначається сума авансу на наступний звітний період.</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4. Гранична сума оплати за медичні послуги за відповідний місяць становить**</w:t>
      </w:r>
    </w:p>
    <w:tbl>
      <w:tblPr>
        <w:tblStyle w:val="T3"/>
        <w:tblW w:w="13965" w:type="dxa"/>
        <w:tblInd w:w="0"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000000"/>
          <w:insideV w:val="none" w:sz="0" w:space="0" w:shadow="0" w:frame="0" w:color="000000"/>
        </w:tblBorders>
        <w:tblLayout w:type="fixed"/>
        <w:tblLook w:val="0600"/>
      </w:tblPr>
      <w:tblGrid/>
      <w:tr>
        <w:trPr>
          <w:trHeight w:hRule="atLeast" w:val="500"/>
        </w:trPr>
        <w:tc>
          <w:tcPr>
            <w:tcW w:w="13756" w:type="dxa"/>
            <w:gridSpan w:val="7"/>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Критерії, за якими встановлено граничну суму оплати</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890"/>
        </w:trPr>
        <w:tc>
          <w:tcPr>
            <w:tcW w:w="1297" w:type="dxa"/>
            <w:vMerge w:val="restart"/>
            <w:tcBorders>
              <w:left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Період ,</w:t>
            </w:r>
          </w:p>
          <w:p>
            <w:pPr>
              <w:ind w:left="120"/>
              <w:jc w:val="center"/>
              <w:rPr>
                <w:rFonts w:ascii="Times New Roman" w:hAnsi="Times New Roman"/>
                <w:b w:val="1"/>
                <w:sz w:val="16"/>
                <w:highlight w:val=""/>
              </w:rPr>
            </w:pPr>
            <w:r>
              <w:rPr>
                <w:rFonts w:ascii="Times New Roman" w:hAnsi="Times New Roman"/>
                <w:b w:val="1"/>
                <w:sz w:val="16"/>
                <w:highlight w:val=""/>
              </w:rPr>
              <w:t>місяць</w:t>
            </w:r>
          </w:p>
        </w:tc>
        <w:tc>
          <w:tcPr>
            <w:tcW w:w="1668" w:type="dxa"/>
            <w:vMerge w:val="restart"/>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Запланована кількість медичних послуг</w:t>
            </w:r>
          </w:p>
        </w:tc>
        <w:tc>
          <w:tcPr>
            <w:tcW w:w="1967" w:type="dxa"/>
            <w:vMerge w:val="restart"/>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Глобальний бюджет, грн</w:t>
            </w:r>
          </w:p>
        </w:tc>
        <w:tc>
          <w:tcPr>
            <w:tcW w:w="2324" w:type="dxa"/>
            <w:vMerge w:val="restart"/>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Коригувальні коефіцієнти</w:t>
            </w:r>
          </w:p>
        </w:tc>
        <w:tc>
          <w:tcPr>
            <w:tcW w:w="1910" w:type="dxa"/>
            <w:vMerge w:val="restart"/>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Значення коефіцієнтів</w:t>
            </w:r>
          </w:p>
        </w:tc>
        <w:tc>
          <w:tcPr>
            <w:tcW w:w="2081" w:type="dxa"/>
            <w:vMerge w:val="restart"/>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Бюджет оплати за випадок/послугу, грн</w:t>
            </w:r>
          </w:p>
        </w:tc>
        <w:tc>
          <w:tcPr>
            <w:tcW w:w="2509" w:type="dxa"/>
            <w:vMerge w:val="restart"/>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Гранична сума оплати, грн</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890"/>
        </w:trPr>
        <w:tc>
          <w:tcPr>
            <w:tcW w:w="1297"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1668"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1967"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2324"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1910"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2081"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2509"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500"/>
        </w:trPr>
        <w:tc>
          <w:tcPr>
            <w:tcW w:w="1297"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b w:val="1"/>
                <w:sz w:val="16"/>
                <w:highlight w:val="white"/>
              </w:rPr>
            </w:pPr>
            <w:r>
              <w:rPr>
                <w:rFonts w:ascii="Times New Roman" w:hAnsi="Times New Roman"/>
                <w:b w:val="1"/>
                <w:sz w:val="16"/>
                <w:highlight w:val="white"/>
              </w:rPr>
              <w:t>Липень</w:t>
            </w:r>
          </w:p>
        </w:tc>
        <w:tc>
          <w:tcPr>
            <w:tcW w:w="166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67"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324"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1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509"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500"/>
        </w:trPr>
        <w:tc>
          <w:tcPr>
            <w:tcW w:w="1297"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b w:val="1"/>
                <w:sz w:val="16"/>
                <w:highlight w:val="white"/>
              </w:rPr>
            </w:pPr>
            <w:r>
              <w:rPr>
                <w:rFonts w:ascii="Times New Roman" w:hAnsi="Times New Roman"/>
                <w:b w:val="1"/>
                <w:sz w:val="16"/>
                <w:highlight w:val="white"/>
              </w:rPr>
              <w:t>Серпень</w:t>
            </w:r>
          </w:p>
        </w:tc>
        <w:tc>
          <w:tcPr>
            <w:tcW w:w="166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67"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324"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1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509"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500"/>
        </w:trPr>
        <w:tc>
          <w:tcPr>
            <w:tcW w:w="1297"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b w:val="1"/>
                <w:sz w:val="16"/>
                <w:highlight w:val="white"/>
              </w:rPr>
            </w:pPr>
            <w:r>
              <w:rPr>
                <w:rFonts w:ascii="Times New Roman" w:hAnsi="Times New Roman"/>
                <w:b w:val="1"/>
                <w:sz w:val="16"/>
                <w:highlight w:val="white"/>
              </w:rPr>
              <w:t>Вересень</w:t>
            </w:r>
          </w:p>
        </w:tc>
        <w:tc>
          <w:tcPr>
            <w:tcW w:w="166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67"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324"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1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509"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500"/>
        </w:trPr>
        <w:tc>
          <w:tcPr>
            <w:tcW w:w="1297"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b w:val="1"/>
                <w:sz w:val="16"/>
                <w:highlight w:val="white"/>
              </w:rPr>
            </w:pPr>
            <w:r>
              <w:rPr>
                <w:rFonts w:ascii="Times New Roman" w:hAnsi="Times New Roman"/>
                <w:b w:val="1"/>
                <w:sz w:val="16"/>
                <w:highlight w:val="white"/>
              </w:rPr>
              <w:t>Жовтень</w:t>
            </w:r>
          </w:p>
        </w:tc>
        <w:tc>
          <w:tcPr>
            <w:tcW w:w="166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67"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324"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1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509"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500"/>
        </w:trPr>
        <w:tc>
          <w:tcPr>
            <w:tcW w:w="1297"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b w:val="1"/>
                <w:sz w:val="16"/>
                <w:highlight w:val="white"/>
              </w:rPr>
            </w:pPr>
            <w:r>
              <w:rPr>
                <w:rFonts w:ascii="Times New Roman" w:hAnsi="Times New Roman"/>
                <w:b w:val="1"/>
                <w:sz w:val="16"/>
                <w:highlight w:val="white"/>
              </w:rPr>
              <w:t>Листопад</w:t>
            </w:r>
          </w:p>
        </w:tc>
        <w:tc>
          <w:tcPr>
            <w:tcW w:w="166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67"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324"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1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509"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500"/>
        </w:trPr>
        <w:tc>
          <w:tcPr>
            <w:tcW w:w="1297"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b w:val="1"/>
                <w:sz w:val="16"/>
                <w:highlight w:val="white"/>
              </w:rPr>
            </w:pPr>
            <w:r>
              <w:rPr>
                <w:rFonts w:ascii="Times New Roman" w:hAnsi="Times New Roman"/>
                <w:b w:val="1"/>
                <w:sz w:val="16"/>
                <w:highlight w:val="white"/>
              </w:rPr>
              <w:t>Грудень</w:t>
            </w:r>
          </w:p>
        </w:tc>
        <w:tc>
          <w:tcPr>
            <w:tcW w:w="166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67"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324"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1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509"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4" w:type="dxa"/>
            <w:shd w:val="clear" w:color="auto" w:fill="auto"/>
            <w:tcMar>
              <w:top w:w="100" w:type="dxa"/>
              <w:left w:w="100" w:type="dxa"/>
              <w:bottom w:w="100" w:type="dxa"/>
              <w:right w:w="100" w:type="dxa"/>
            </w:tcMar>
          </w:tcPr>
          <w:p>
            <w:pPr>
              <w:ind w:left="120"/>
              <w:rPr>
                <w:highlight w:val="white"/>
              </w:rPr>
            </w:pPr>
          </w:p>
        </w:tc>
      </w:tr>
    </w:tbl>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У разі коли протягом трьох місяців підряд ціна наданих медичних послуг вища або нижча, ніж запланована вартість медичних послуг за відповідний квартал, на вимогу замовника сторони повинні підписати договір про внесення змін до договору, в якому визначити скориговані заплановану вартість послуг та у разі потреби граничні суми оплати на наступні місяці. У разі ухилення надавача від підписання договору про внесення змін до договору стосовно коригування ціни договору замовник має право зупинити оплату послуг за договором.</w:t>
      </w:r>
    </w:p>
    <w:p>
      <w:pPr>
        <w:spacing w:before="120" w:beforeAutospacing="0" w:afterAutospacing="0"/>
        <w:ind w:hanging="11" w:left="720"/>
        <w:jc w:val="both"/>
        <w:rPr>
          <w:rFonts w:ascii="Times New Roman" w:hAnsi="Times New Roman"/>
          <w:sz w:val="24"/>
          <w:highlight w:val="white"/>
        </w:rPr>
      </w:pPr>
      <w:r>
        <w:rPr>
          <w:rFonts w:ascii="Times New Roman" w:hAnsi="Times New Roman"/>
          <w:sz w:val="24"/>
          <w:highlight w:val="white"/>
        </w:rPr>
        <w:t>5. Надавач зобов’язується:</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1) під час надання медичних послуг дотримуватися відповідних порядків надання медичної допомоги та галузевих стандартів у сфері охорони здоров’я, примірних табелів матеріально-технічного оснащення, в тому числі клінічних протоколів;</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2) надавати медичні послуги в обсязі не меншому, ніж визначено в специфікації;</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3) інші обов’язки: своєчасно вносити до системи медичну документацію про медичне обслуговування пацієнтів.</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6. Тарифи та коригувальні коефіцієнти визначаються відповідно до законодавства.</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7. Інші умови</w:t>
      </w:r>
    </w:p>
    <w:p>
      <w:pPr>
        <w:spacing w:before="120" w:beforeAutospacing="0" w:afterAutospacing="0"/>
        <w:ind w:firstLine="708"/>
        <w:jc w:val="both"/>
        <w:rPr>
          <w:rFonts w:ascii="Times New Roman" w:hAnsi="Times New Roman"/>
          <w:sz w:val="24"/>
          <w:highlight w:val="white"/>
        </w:rPr>
      </w:pPr>
      <w:r>
        <w:rPr>
          <w:rFonts w:ascii="Times New Roman" w:hAnsi="Times New Roman"/>
          <w:sz w:val="24"/>
          <w:highlight w:val="white"/>
        </w:rPr>
        <w:t>7.1 – Умови закупівлі медичних послуг, які надаються згідно з цим додатком</w:t>
      </w:r>
    </w:p>
    <w:p>
      <w:pPr>
        <w:spacing w:before="120" w:beforeAutospacing="0" w:afterAutospacing="0"/>
        <w:ind w:firstLine="708"/>
        <w:jc w:val="both"/>
        <w:rPr>
          <w:rFonts w:ascii="Times New Roman" w:hAnsi="Times New Roman"/>
          <w:sz w:val="24"/>
          <w:highlight w:val="white"/>
        </w:rPr>
      </w:pPr>
    </w:p>
    <w:p>
      <w:pPr>
        <w:spacing w:before="120" w:beforeAutospacing="0" w:afterAutospacing="0"/>
        <w:ind w:firstLine="708"/>
        <w:jc w:val="both"/>
        <w:rPr>
          <w:rFonts w:ascii="Times New Roman" w:hAnsi="Times New Roman"/>
          <w:sz w:val="24"/>
          <w:highlight w:val="white"/>
        </w:rPr>
      </w:pPr>
      <w:r>
        <w:rPr>
          <w:rFonts w:ascii="Times New Roman" w:hAnsi="Times New Roman"/>
          <w:sz w:val="24"/>
          <w:highlight w:val="white"/>
        </w:rPr>
        <w:t>7.2 – Специфікація медичних послуг, які надаються згідно з цим додатком</w:t>
      </w:r>
    </w:p>
    <w:p>
      <w:pPr>
        <w:spacing w:before="120" w:beforeAutospacing="0" w:afterAutospacing="0"/>
        <w:ind w:firstLine="708"/>
        <w:jc w:val="both"/>
        <w:rPr>
          <w:rFonts w:ascii="Times New Roman" w:hAnsi="Times New Roman"/>
          <w:sz w:val="24"/>
          <w:highlight w:val="white"/>
        </w:rPr>
      </w:pPr>
    </w:p>
    <w:p>
      <w:pPr>
        <w:spacing w:before="120" w:beforeAutospacing="0" w:afterAutospacing="0"/>
        <w:jc w:val="both"/>
        <w:rPr>
          <w:rFonts w:ascii="Times New Roman" w:hAnsi="Times New Roman"/>
          <w:sz w:val="20"/>
          <w:highlight w:val="white"/>
        </w:rPr>
      </w:pPr>
      <w:r>
        <w:rPr>
          <w:rFonts w:ascii="Times New Roman" w:hAnsi="Times New Roman"/>
          <w:sz w:val="24"/>
          <w:highlight w:val="white"/>
        </w:rPr>
        <w:t xml:space="preserve"> ___________________________________________________________.</w:t>
      </w:r>
    </w:p>
    <w:p>
      <w:pPr>
        <w:ind w:firstLine="720"/>
        <w:jc w:val="both"/>
        <w:rPr>
          <w:rFonts w:ascii="Times New Roman" w:hAnsi="Times New Roman"/>
          <w:sz w:val="20"/>
          <w:highlight w:val="white"/>
        </w:rPr>
      </w:pPr>
      <w:r>
        <w:rPr>
          <w:rFonts w:ascii="Times New Roman" w:hAnsi="Times New Roman"/>
          <w:sz w:val="20"/>
          <w:highlight w:val="white"/>
        </w:rPr>
        <w:t>** Заповнюється у разі потреби, якщо оплата здійснюється нерівними частинами протягом строку дії договору. Критеріями для встановлення граничної суми оплати можуть бути усі або окремі послуги, або окремі групи послуг із зазначенням інформації про те, чи встановлена гранична сума оплати для надавача загалом або окремого місця надання медичних послуг.</w:t>
      </w:r>
    </w:p>
    <w:p>
      <w:pPr>
        <w:jc w:val="both"/>
        <w:rPr>
          <w:rFonts w:ascii="Times New Roman" w:hAnsi="Times New Roman"/>
          <w:sz w:val="20"/>
          <w:highlight w:val="white"/>
        </w:rPr>
      </w:pPr>
      <w:r>
        <w:rPr>
          <w:rFonts w:ascii="Times New Roman" w:hAnsi="Times New Roman"/>
          <w:sz w:val="20"/>
          <w:highlight w:val="white"/>
        </w:rPr>
        <w:t xml:space="preserve"> </w:t>
      </w:r>
    </w:p>
    <w:p>
      <w:pPr>
        <w:jc w:val="both"/>
        <w:rPr>
          <w:rFonts w:ascii="Times New Roman" w:hAnsi="Times New Roman"/>
          <w:b w:val="1"/>
          <w:sz w:val="28"/>
          <w:highlight w:val="white"/>
        </w:rPr>
      </w:pPr>
      <w:r>
        <w:rPr>
          <w:rFonts w:ascii="Times New Roman" w:hAnsi="Times New Roman"/>
          <w:b w:val="1"/>
          <w:sz w:val="28"/>
          <w:highlight w:val="white"/>
        </w:rPr>
        <w:t xml:space="preserve"> </w:t>
      </w:r>
    </w:p>
    <w:p>
      <w:pPr>
        <w:rPr>
          <w:highlight w:val="white"/>
        </w:rPr>
      </w:pPr>
    </w:p>
    <w:sectPr>
      <w:type w:val="nextPage"/>
      <w:pgSz w:w="16838" w:h="11906" w:code="0"/>
      <w:pgMar w:left="1440" w:right="1440" w:top="1440" w:bottom="1440" w:header="720" w:footer="720" w:gutter="0"/>
      <w:pgNumType w:start="1" w:chapSep="period"/>
      <w:cols w:equalWidth="1" w:space="72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Arial" w:hAnsi="Arial"/>
        <w:b w:val="0"/>
        <w:i w:val="0"/>
        <w:caps w:val="0"/>
        <w:strike w:val="0"/>
        <w:noProof w:val="0"/>
        <w:vanish w:val="0"/>
        <w:color w:val="auto"/>
        <w:sz w:val="22"/>
        <w:u w:val="none"/>
        <w:shd w:val="clear" w:color="auto" w:fill="auto"/>
        <w:vertAlign w:val="baseline"/>
        <w:lang w:val="uk" w:bidi="ar-SA" w:eastAsia="uk-UA"/>
      </w:rPr>
    </w:rPrDefault>
    <w:pPrDefault>
      <w:pPr>
        <w:keepNext w:val="0"/>
        <w:keepLines w:val="0"/>
        <w:widowControl w:val="1"/>
        <w:suppressLineNumbers w:val="0"/>
        <w:shd w:val="clear" w:fill="auto"/>
        <w:suppressAutoHyphens w:val="0"/>
        <w:spacing w:lineRule="auto" w:line="276" w:before="0" w:after="0" w:beforeAutospacing="0" w:afterAutospacing="0"/>
        <w:ind w:firstLine="0" w:left="0" w:right="0"/>
        <w:contextualSpacing w:val="0"/>
        <w:jc w:val="left"/>
      </w:pPr>
    </w:pPrDefault>
  </w:docDefaults>
  <w:style w:type="paragraph" w:styleId="P0" w:default="1">
    <w:name w:val="Normal"/>
    <w:pPr/>
    <w:rPr/>
  </w:style>
  <w:style w:type="paragraph" w:styleId="P1">
    <w:name w:val="heading 1"/>
    <w:basedOn w:val="P0"/>
    <w:next w:val="P0"/>
    <w:pPr>
      <w:keepNext w:val="1"/>
      <w:keepLines w:val="1"/>
      <w:spacing w:before="400" w:after="120" w:beforeAutospacing="0" w:afterAutospacing="0"/>
      <w:outlineLvl w:val="0"/>
    </w:pPr>
    <w:rPr>
      <w:sz w:val="40"/>
    </w:rPr>
  </w:style>
  <w:style w:type="paragraph" w:styleId="P2">
    <w:name w:val="heading 2"/>
    <w:basedOn w:val="P0"/>
    <w:next w:val="P0"/>
    <w:pPr>
      <w:keepNext w:val="1"/>
      <w:keepLines w:val="1"/>
      <w:spacing w:before="360" w:after="120" w:beforeAutospacing="0" w:afterAutospacing="0"/>
      <w:outlineLvl w:val="1"/>
    </w:pPr>
    <w:rPr>
      <w:sz w:val="32"/>
    </w:rPr>
  </w:style>
  <w:style w:type="paragraph" w:styleId="P3">
    <w:name w:val="heading 3"/>
    <w:basedOn w:val="P0"/>
    <w:next w:val="P0"/>
    <w:pPr>
      <w:keepNext w:val="1"/>
      <w:keepLines w:val="1"/>
      <w:spacing w:before="320" w:after="80" w:beforeAutospacing="0" w:afterAutospacing="0"/>
      <w:outlineLvl w:val="2"/>
    </w:pPr>
    <w:rPr>
      <w:color w:val="434343"/>
      <w:sz w:val="28"/>
    </w:rPr>
  </w:style>
  <w:style w:type="paragraph" w:styleId="P4">
    <w:name w:val="heading 4"/>
    <w:basedOn w:val="P0"/>
    <w:next w:val="P0"/>
    <w:pPr>
      <w:keepNext w:val="1"/>
      <w:keepLines w:val="1"/>
      <w:spacing w:before="280" w:after="80" w:beforeAutospacing="0" w:afterAutospacing="0"/>
      <w:outlineLvl w:val="3"/>
    </w:pPr>
    <w:rPr>
      <w:color w:val="666666"/>
      <w:sz w:val="24"/>
    </w:rPr>
  </w:style>
  <w:style w:type="paragraph" w:styleId="P5">
    <w:name w:val="heading 5"/>
    <w:basedOn w:val="P0"/>
    <w:next w:val="P0"/>
    <w:pPr>
      <w:keepNext w:val="1"/>
      <w:keepLines w:val="1"/>
      <w:spacing w:before="240" w:after="80" w:beforeAutospacing="0" w:afterAutospacing="0"/>
      <w:outlineLvl w:val="4"/>
    </w:pPr>
    <w:rPr>
      <w:color w:val="666666"/>
    </w:rPr>
  </w:style>
  <w:style w:type="paragraph" w:styleId="P6">
    <w:name w:val="heading 6"/>
    <w:basedOn w:val="P0"/>
    <w:next w:val="P0"/>
    <w:pPr>
      <w:keepNext w:val="1"/>
      <w:keepLines w:val="1"/>
      <w:spacing w:before="240" w:after="80" w:beforeAutospacing="0" w:afterAutospacing="0"/>
      <w:outlineLvl w:val="5"/>
    </w:pPr>
    <w:rPr>
      <w:i w:val="1"/>
      <w:color w:val="666666"/>
    </w:rPr>
  </w:style>
  <w:style w:type="paragraph" w:styleId="P7">
    <w:name w:val="Title"/>
    <w:basedOn w:val="P0"/>
    <w:next w:val="P0"/>
    <w:pPr>
      <w:keepNext w:val="1"/>
      <w:keepLines w:val="1"/>
      <w:spacing w:after="60" w:beforeAutospacing="0" w:afterAutospacing="0"/>
    </w:pPr>
    <w:rPr>
      <w:sz w:val="52"/>
    </w:rPr>
  </w:style>
  <w:style w:type="paragraph" w:styleId="P8">
    <w:name w:val="Subtitle"/>
    <w:basedOn w:val="P0"/>
    <w:next w:val="P0"/>
    <w:pPr>
      <w:keepNext w:val="1"/>
      <w:keepLines w:val="1"/>
      <w:spacing w:after="320" w:beforeAutospacing="0" w:afterAutospacing="0"/>
    </w:pPr>
    <w:rPr>
      <w:color w:val="666666"/>
      <w:sz w:val="3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CellMar>
        <w:top w:w="0" w:type="dxa"/>
        <w:left w:w="0" w:type="dxa"/>
        <w:bottom w:w="0" w:type="dxa"/>
        <w:right w:w="0" w:type="dxa"/>
      </w:tblCellMar>
    </w:tblPr>
    <w:trPr/>
    <w:tcPr/>
  </w:style>
  <w:style w:type="table" w:styleId="T3">
    <w:name w:val=""/>
    <w:basedOn w:val="T2"/>
    <w:tblPr>
      <w:tblStyleRowBandSize w:val="1"/>
      <w:tblStyleColBandSize w:val="1"/>
      <w:tblCellMar>
        <w:top w:w="100" w:type="dxa"/>
        <w:left w:w="100" w:type="dxa"/>
        <w:bottom w:w="100" w:type="dxa"/>
        <w:right w:w="100"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Пилипенко Наталія Миколаївна</dc:creator>
  <dcterms:created xsi:type="dcterms:W3CDTF">2020-03-10T13:12:00Z</dcterms:created>
  <cp:lastModifiedBy>IIS APPPOOL\askod-ode</cp:lastModifiedBy>
  <dcterms:modified xsi:type="dcterms:W3CDTF">2020-07-03T09:09:46Z</dcterms:modified>
  <cp:revision>3</cp:revision>
</cp:coreProperties>
</file>