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1E8" w:rsidRDefault="00AE5232">
      <w:pPr>
        <w:spacing w:line="240" w:lineRule="auto"/>
        <w:ind w:left="13040" w:hanging="1134"/>
        <w:rPr>
          <w:rFonts w:ascii="Times New Roman" w:eastAsia="Times New Roman" w:hAnsi="Times New Roman" w:cs="Times New Roman"/>
          <w:sz w:val="24"/>
          <w:szCs w:val="24"/>
          <w:highlight w:val="white"/>
        </w:rPr>
      </w:pPr>
      <w:bookmarkStart w:id="0" w:name="_GoBack"/>
      <w:bookmarkEnd w:id="0"/>
      <w:r>
        <w:rPr>
          <w:rFonts w:ascii="Times New Roman" w:eastAsia="Times New Roman" w:hAnsi="Times New Roman" w:cs="Times New Roman"/>
          <w:sz w:val="24"/>
          <w:szCs w:val="24"/>
          <w:highlight w:val="white"/>
        </w:rPr>
        <w:t>Додаток ___</w:t>
      </w:r>
    </w:p>
    <w:p w:rsidR="005061E8" w:rsidRDefault="00AE5232">
      <w:pPr>
        <w:spacing w:line="240" w:lineRule="auto"/>
        <w:ind w:left="13040" w:hanging="1134"/>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до договору</w:t>
      </w:r>
    </w:p>
    <w:p w:rsidR="005061E8" w:rsidRDefault="00AE5232">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СПЕЦІАЛЬНІ УМОВИ</w:t>
      </w:r>
    </w:p>
    <w:p w:rsidR="005061E8" w:rsidRDefault="00AE5232">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надання інших медичних послуг</w:t>
      </w:r>
    </w:p>
    <w:p w:rsidR="005061E8" w:rsidRDefault="00AE5232">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 </w:t>
      </w:r>
    </w:p>
    <w:p w:rsidR="005061E8" w:rsidRDefault="00AE5232">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 Надавач зобов’язується надавати згідно з договором такі медичні послуги</w:t>
      </w:r>
    </w:p>
    <w:p w:rsidR="005061E8" w:rsidRDefault="00AE5232">
      <w:pPr>
        <w:spacing w:before="120"/>
        <w:ind w:left="9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bl>
      <w:tblPr>
        <w:tblStyle w:val="a5"/>
        <w:tblW w:w="139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25"/>
        <w:gridCol w:w="982"/>
        <w:gridCol w:w="1151"/>
        <w:gridCol w:w="1151"/>
        <w:gridCol w:w="1005"/>
        <w:gridCol w:w="1198"/>
        <w:gridCol w:w="1162"/>
        <w:gridCol w:w="257"/>
        <w:gridCol w:w="957"/>
        <w:gridCol w:w="1331"/>
        <w:gridCol w:w="1416"/>
        <w:gridCol w:w="1258"/>
        <w:gridCol w:w="1271"/>
      </w:tblGrid>
      <w:tr w:rsidR="005061E8">
        <w:trPr>
          <w:trHeight w:val="515"/>
        </w:trPr>
        <w:tc>
          <w:tcPr>
            <w:tcW w:w="8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61E8" w:rsidRDefault="00AE5232">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w:t>
            </w:r>
          </w:p>
        </w:tc>
        <w:tc>
          <w:tcPr>
            <w:tcW w:w="981"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61E8" w:rsidRDefault="00AE5232">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Код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61E8" w:rsidRDefault="00AE5232">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Назва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61E8" w:rsidRDefault="00AE5232">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005"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61E8" w:rsidRDefault="00AE5232">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Одиниця медичної послуги</w:t>
            </w:r>
          </w:p>
        </w:tc>
        <w:tc>
          <w:tcPr>
            <w:tcW w:w="1198"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61E8" w:rsidRDefault="00AE5232">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w:t>
            </w:r>
          </w:p>
          <w:p w:rsidR="005061E8" w:rsidRDefault="00AE5232">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кількість медичних послуг</w:t>
            </w:r>
          </w:p>
        </w:tc>
        <w:tc>
          <w:tcPr>
            <w:tcW w:w="1419" w:type="dxa"/>
            <w:gridSpan w:val="2"/>
            <w:tcBorders>
              <w:top w:val="single" w:sz="8" w:space="0" w:color="000000"/>
              <w:bottom w:val="single" w:sz="8" w:space="0" w:color="000000"/>
            </w:tcBorders>
            <w:shd w:val="clear" w:color="auto" w:fill="FFFFFF"/>
            <w:tcMar>
              <w:top w:w="100" w:type="dxa"/>
              <w:left w:w="100" w:type="dxa"/>
              <w:bottom w:w="100" w:type="dxa"/>
              <w:right w:w="100" w:type="dxa"/>
            </w:tcMar>
          </w:tcPr>
          <w:p w:rsidR="005061E8" w:rsidRDefault="00AE5232">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6232" w:type="dxa"/>
            <w:gridSpan w:val="5"/>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61E8" w:rsidRDefault="00AE5232">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w:t>
            </w:r>
          </w:p>
        </w:tc>
      </w:tr>
      <w:tr w:rsidR="005061E8">
        <w:trPr>
          <w:trHeight w:val="1310"/>
        </w:trPr>
        <w:tc>
          <w:tcPr>
            <w:tcW w:w="8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5061E8">
            <w:pPr>
              <w:widowControl w:val="0"/>
              <w:pBdr>
                <w:top w:val="nil"/>
                <w:left w:val="nil"/>
                <w:bottom w:val="nil"/>
                <w:right w:val="nil"/>
                <w:between w:val="nil"/>
              </w:pBdr>
              <w:rPr>
                <w:highlight w:val="white"/>
              </w:rPr>
            </w:pPr>
          </w:p>
        </w:tc>
        <w:tc>
          <w:tcPr>
            <w:tcW w:w="9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5061E8">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5061E8">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5061E8">
            <w:pPr>
              <w:widowControl w:val="0"/>
              <w:pBdr>
                <w:top w:val="nil"/>
                <w:left w:val="nil"/>
                <w:bottom w:val="nil"/>
                <w:right w:val="nil"/>
                <w:between w:val="nil"/>
              </w:pBdr>
              <w:rPr>
                <w:highlight w:val="white"/>
              </w:rPr>
            </w:pPr>
          </w:p>
        </w:tc>
        <w:tc>
          <w:tcPr>
            <w:tcW w:w="100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5061E8">
            <w:pPr>
              <w:widowControl w:val="0"/>
              <w:pBdr>
                <w:top w:val="nil"/>
                <w:left w:val="nil"/>
                <w:bottom w:val="nil"/>
                <w:right w:val="nil"/>
                <w:between w:val="nil"/>
              </w:pBdr>
              <w:rPr>
                <w:highlight w:val="white"/>
              </w:rPr>
            </w:pPr>
          </w:p>
        </w:tc>
        <w:tc>
          <w:tcPr>
            <w:tcW w:w="119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5061E8">
            <w:pPr>
              <w:widowControl w:val="0"/>
              <w:pBdr>
                <w:top w:val="nil"/>
                <w:left w:val="nil"/>
                <w:bottom w:val="nil"/>
                <w:right w:val="nil"/>
                <w:between w:val="nil"/>
              </w:pBdr>
              <w:rPr>
                <w:highlight w:val="white"/>
              </w:rPr>
            </w:pPr>
          </w:p>
        </w:tc>
        <w:tc>
          <w:tcPr>
            <w:tcW w:w="1162" w:type="dxa"/>
            <w:tcBorders>
              <w:bottom w:val="single" w:sz="8" w:space="0" w:color="000000"/>
              <w:right w:val="single" w:sz="8" w:space="0" w:color="000000"/>
            </w:tcBorders>
            <w:shd w:val="clear" w:color="auto" w:fill="FFFFFF"/>
            <w:tcMar>
              <w:top w:w="100" w:type="dxa"/>
              <w:left w:w="100" w:type="dxa"/>
              <w:bottom w:w="100" w:type="dxa"/>
              <w:right w:w="100" w:type="dxa"/>
            </w:tcMar>
          </w:tcPr>
          <w:p w:rsidR="005061E8" w:rsidRDefault="00AE5232">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1214" w:type="dxa"/>
            <w:gridSpan w:val="2"/>
            <w:tcBorders>
              <w:bottom w:val="single" w:sz="8" w:space="0" w:color="000000"/>
              <w:right w:val="single" w:sz="8" w:space="0" w:color="000000"/>
            </w:tcBorders>
            <w:shd w:val="clear" w:color="auto" w:fill="FFFFFF"/>
            <w:tcMar>
              <w:top w:w="100" w:type="dxa"/>
              <w:left w:w="100" w:type="dxa"/>
              <w:bottom w:w="100" w:type="dxa"/>
              <w:right w:w="100" w:type="dxa"/>
            </w:tcMar>
          </w:tcPr>
          <w:p w:rsidR="005061E8" w:rsidRDefault="00AE5232">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Тариф (ставка), грн</w:t>
            </w:r>
          </w:p>
        </w:tc>
        <w:tc>
          <w:tcPr>
            <w:tcW w:w="1331" w:type="dxa"/>
            <w:tcBorders>
              <w:bottom w:val="single" w:sz="8" w:space="0" w:color="000000"/>
              <w:right w:val="single" w:sz="8" w:space="0" w:color="000000"/>
            </w:tcBorders>
            <w:shd w:val="clear" w:color="auto" w:fill="FFFFFF"/>
            <w:tcMar>
              <w:top w:w="100" w:type="dxa"/>
              <w:left w:w="100" w:type="dxa"/>
              <w:bottom w:w="100" w:type="dxa"/>
              <w:right w:w="100" w:type="dxa"/>
            </w:tcMar>
          </w:tcPr>
          <w:p w:rsidR="005061E8" w:rsidRDefault="00AE5232">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415" w:type="dxa"/>
            <w:tcBorders>
              <w:bottom w:val="single" w:sz="8" w:space="0" w:color="000000"/>
              <w:right w:val="single" w:sz="8" w:space="0" w:color="000000"/>
            </w:tcBorders>
            <w:shd w:val="clear" w:color="auto" w:fill="FFFFFF"/>
            <w:tcMar>
              <w:top w:w="100" w:type="dxa"/>
              <w:left w:w="100" w:type="dxa"/>
              <w:bottom w:w="100" w:type="dxa"/>
              <w:right w:w="100" w:type="dxa"/>
            </w:tcMar>
          </w:tcPr>
          <w:p w:rsidR="005061E8" w:rsidRDefault="00AE5232">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1258" w:type="dxa"/>
            <w:tcBorders>
              <w:bottom w:val="single" w:sz="8" w:space="0" w:color="000000"/>
              <w:right w:val="single" w:sz="8" w:space="0" w:color="000000"/>
            </w:tcBorders>
            <w:shd w:val="clear" w:color="auto" w:fill="FFFFFF"/>
            <w:tcMar>
              <w:top w:w="100" w:type="dxa"/>
              <w:left w:w="100" w:type="dxa"/>
              <w:bottom w:w="100" w:type="dxa"/>
              <w:right w:w="100" w:type="dxa"/>
            </w:tcMar>
          </w:tcPr>
          <w:p w:rsidR="005061E8" w:rsidRDefault="00AE5232">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1271" w:type="dxa"/>
            <w:tcBorders>
              <w:bottom w:val="single" w:sz="8" w:space="0" w:color="000000"/>
              <w:right w:val="single" w:sz="8" w:space="0" w:color="000000"/>
            </w:tcBorders>
            <w:shd w:val="clear" w:color="auto" w:fill="FFFFFF"/>
            <w:tcMar>
              <w:top w:w="100" w:type="dxa"/>
              <w:left w:w="100" w:type="dxa"/>
              <w:bottom w:w="100" w:type="dxa"/>
              <w:right w:w="100" w:type="dxa"/>
            </w:tcMar>
          </w:tcPr>
          <w:p w:rsidR="005061E8" w:rsidRDefault="00AE5232">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 грн</w:t>
            </w:r>
          </w:p>
        </w:tc>
      </w:tr>
      <w:tr w:rsidR="005061E8">
        <w:trPr>
          <w:trHeight w:val="2570"/>
        </w:trPr>
        <w:tc>
          <w:tcPr>
            <w:tcW w:w="82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jc w:val="center"/>
              <w:rPr>
                <w:sz w:val="16"/>
                <w:szCs w:val="16"/>
                <w:highlight w:val="white"/>
              </w:rPr>
            </w:pPr>
            <w:r>
              <w:rPr>
                <w:sz w:val="16"/>
                <w:szCs w:val="16"/>
                <w:highlight w:val="white"/>
              </w:rPr>
              <w:t xml:space="preserve"> </w:t>
            </w:r>
          </w:p>
        </w:tc>
        <w:tc>
          <w:tcPr>
            <w:tcW w:w="981"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jc w:val="center"/>
              <w:rPr>
                <w:sz w:val="16"/>
                <w:szCs w:val="16"/>
                <w:highlight w:val="white"/>
              </w:rPr>
            </w:pPr>
            <w:r>
              <w:rPr>
                <w:sz w:val="16"/>
                <w:szCs w:val="16"/>
                <w:highlight w:val="white"/>
              </w:rPr>
              <w:t xml:space="preserve"> </w:t>
            </w:r>
          </w:p>
        </w:tc>
        <w:tc>
          <w:tcPr>
            <w:tcW w:w="1005"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jc w:val="center"/>
              <w:rPr>
                <w:sz w:val="16"/>
                <w:szCs w:val="16"/>
                <w:highlight w:val="white"/>
              </w:rPr>
            </w:pPr>
            <w:r>
              <w:rPr>
                <w:sz w:val="16"/>
                <w:szCs w:val="16"/>
                <w:highlight w:val="white"/>
              </w:rPr>
              <w:t xml:space="preserve"> </w:t>
            </w:r>
          </w:p>
        </w:tc>
        <w:tc>
          <w:tcPr>
            <w:tcW w:w="1198"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jc w:val="center"/>
              <w:rPr>
                <w:sz w:val="16"/>
                <w:szCs w:val="16"/>
                <w:highlight w:val="white"/>
              </w:rPr>
            </w:pPr>
            <w:r>
              <w:rPr>
                <w:sz w:val="16"/>
                <w:szCs w:val="16"/>
                <w:highlight w:val="white"/>
              </w:rPr>
              <w:t xml:space="preserve"> </w:t>
            </w:r>
          </w:p>
        </w:tc>
        <w:tc>
          <w:tcPr>
            <w:tcW w:w="1162"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jc w:val="right"/>
              <w:rPr>
                <w:sz w:val="16"/>
                <w:szCs w:val="16"/>
                <w:highlight w:val="white"/>
              </w:rPr>
            </w:pPr>
            <w:r>
              <w:rPr>
                <w:sz w:val="16"/>
                <w:szCs w:val="16"/>
                <w:highlight w:val="white"/>
              </w:rPr>
              <w:t xml:space="preserve"> </w:t>
            </w:r>
          </w:p>
        </w:tc>
        <w:tc>
          <w:tcPr>
            <w:tcW w:w="1214"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jc w:val="right"/>
              <w:rPr>
                <w:sz w:val="16"/>
                <w:szCs w:val="16"/>
                <w:highlight w:val="white"/>
              </w:rPr>
            </w:pPr>
            <w:r>
              <w:rPr>
                <w:sz w:val="16"/>
                <w:szCs w:val="16"/>
                <w:highlight w:val="white"/>
              </w:rPr>
              <w:t xml:space="preserve"> </w:t>
            </w:r>
          </w:p>
        </w:tc>
        <w:tc>
          <w:tcPr>
            <w:tcW w:w="1331"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jc w:val="center"/>
              <w:rPr>
                <w:sz w:val="16"/>
                <w:szCs w:val="16"/>
                <w:highlight w:val="white"/>
              </w:rPr>
            </w:pPr>
            <w:r>
              <w:rPr>
                <w:sz w:val="16"/>
                <w:szCs w:val="16"/>
                <w:highlight w:val="white"/>
              </w:rPr>
              <w:t xml:space="preserve"> </w:t>
            </w:r>
          </w:p>
        </w:tc>
        <w:tc>
          <w:tcPr>
            <w:tcW w:w="1415"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jc w:val="right"/>
              <w:rPr>
                <w:sz w:val="16"/>
                <w:szCs w:val="16"/>
                <w:highlight w:val="white"/>
              </w:rPr>
            </w:pPr>
            <w:r>
              <w:rPr>
                <w:sz w:val="16"/>
                <w:szCs w:val="16"/>
                <w:highlight w:val="white"/>
              </w:rPr>
              <w:t xml:space="preserve"> </w:t>
            </w:r>
          </w:p>
        </w:tc>
        <w:tc>
          <w:tcPr>
            <w:tcW w:w="1258"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jc w:val="right"/>
              <w:rPr>
                <w:sz w:val="16"/>
                <w:szCs w:val="16"/>
                <w:highlight w:val="white"/>
              </w:rPr>
            </w:pPr>
            <w:r>
              <w:rPr>
                <w:sz w:val="16"/>
                <w:szCs w:val="16"/>
                <w:highlight w:val="white"/>
              </w:rPr>
              <w:t xml:space="preserve"> </w:t>
            </w:r>
          </w:p>
        </w:tc>
        <w:tc>
          <w:tcPr>
            <w:tcW w:w="1271"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jc w:val="right"/>
              <w:rPr>
                <w:sz w:val="16"/>
                <w:szCs w:val="16"/>
                <w:highlight w:val="white"/>
              </w:rPr>
            </w:pPr>
            <w:r>
              <w:rPr>
                <w:sz w:val="16"/>
                <w:szCs w:val="16"/>
                <w:highlight w:val="white"/>
              </w:rPr>
              <w:t xml:space="preserve"> </w:t>
            </w:r>
          </w:p>
        </w:tc>
      </w:tr>
      <w:tr w:rsidR="005061E8">
        <w:trPr>
          <w:trHeight w:val="215"/>
        </w:trPr>
        <w:tc>
          <w:tcPr>
            <w:tcW w:w="824" w:type="dxa"/>
            <w:shd w:val="clear" w:color="auto" w:fill="auto"/>
            <w:tcMar>
              <w:top w:w="100" w:type="dxa"/>
              <w:left w:w="100" w:type="dxa"/>
              <w:bottom w:w="100" w:type="dxa"/>
              <w:right w:w="100" w:type="dxa"/>
            </w:tcMar>
          </w:tcPr>
          <w:p w:rsidR="005061E8" w:rsidRDefault="005061E8">
            <w:pPr>
              <w:rPr>
                <w:highlight w:val="white"/>
              </w:rPr>
            </w:pPr>
          </w:p>
        </w:tc>
        <w:tc>
          <w:tcPr>
            <w:tcW w:w="981" w:type="dxa"/>
            <w:shd w:val="clear" w:color="auto" w:fill="auto"/>
            <w:tcMar>
              <w:top w:w="100" w:type="dxa"/>
              <w:left w:w="100" w:type="dxa"/>
              <w:bottom w:w="100" w:type="dxa"/>
              <w:right w:w="100" w:type="dxa"/>
            </w:tcMar>
          </w:tcPr>
          <w:p w:rsidR="005061E8" w:rsidRDefault="005061E8">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5061E8" w:rsidRDefault="005061E8">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5061E8" w:rsidRDefault="005061E8">
            <w:pPr>
              <w:widowControl w:val="0"/>
              <w:pBdr>
                <w:top w:val="nil"/>
                <w:left w:val="nil"/>
                <w:bottom w:val="nil"/>
                <w:right w:val="nil"/>
                <w:between w:val="nil"/>
              </w:pBdr>
              <w:rPr>
                <w:highlight w:val="white"/>
              </w:rPr>
            </w:pPr>
          </w:p>
        </w:tc>
        <w:tc>
          <w:tcPr>
            <w:tcW w:w="1005" w:type="dxa"/>
            <w:shd w:val="clear" w:color="auto" w:fill="auto"/>
            <w:tcMar>
              <w:top w:w="100" w:type="dxa"/>
              <w:left w:w="100" w:type="dxa"/>
              <w:bottom w:w="100" w:type="dxa"/>
              <w:right w:w="100" w:type="dxa"/>
            </w:tcMar>
          </w:tcPr>
          <w:p w:rsidR="005061E8" w:rsidRDefault="005061E8">
            <w:pPr>
              <w:widowControl w:val="0"/>
              <w:pBdr>
                <w:top w:val="nil"/>
                <w:left w:val="nil"/>
                <w:bottom w:val="nil"/>
                <w:right w:val="nil"/>
                <w:between w:val="nil"/>
              </w:pBdr>
              <w:rPr>
                <w:highlight w:val="white"/>
              </w:rPr>
            </w:pPr>
          </w:p>
        </w:tc>
        <w:tc>
          <w:tcPr>
            <w:tcW w:w="1198" w:type="dxa"/>
            <w:shd w:val="clear" w:color="auto" w:fill="auto"/>
            <w:tcMar>
              <w:top w:w="100" w:type="dxa"/>
              <w:left w:w="100" w:type="dxa"/>
              <w:bottom w:w="100" w:type="dxa"/>
              <w:right w:w="100" w:type="dxa"/>
            </w:tcMar>
          </w:tcPr>
          <w:p w:rsidR="005061E8" w:rsidRDefault="005061E8">
            <w:pPr>
              <w:widowControl w:val="0"/>
              <w:pBdr>
                <w:top w:val="nil"/>
                <w:left w:val="nil"/>
                <w:bottom w:val="nil"/>
                <w:right w:val="nil"/>
                <w:between w:val="nil"/>
              </w:pBdr>
              <w:rPr>
                <w:highlight w:val="white"/>
              </w:rPr>
            </w:pPr>
          </w:p>
        </w:tc>
        <w:tc>
          <w:tcPr>
            <w:tcW w:w="1162" w:type="dxa"/>
            <w:shd w:val="clear" w:color="auto" w:fill="auto"/>
            <w:tcMar>
              <w:top w:w="100" w:type="dxa"/>
              <w:left w:w="100" w:type="dxa"/>
              <w:bottom w:w="100" w:type="dxa"/>
              <w:right w:w="100" w:type="dxa"/>
            </w:tcMar>
          </w:tcPr>
          <w:p w:rsidR="005061E8" w:rsidRDefault="005061E8">
            <w:pPr>
              <w:widowControl w:val="0"/>
              <w:pBdr>
                <w:top w:val="nil"/>
                <w:left w:val="nil"/>
                <w:bottom w:val="nil"/>
                <w:right w:val="nil"/>
                <w:between w:val="nil"/>
              </w:pBdr>
              <w:rPr>
                <w:highlight w:val="white"/>
              </w:rPr>
            </w:pPr>
          </w:p>
        </w:tc>
        <w:tc>
          <w:tcPr>
            <w:tcW w:w="257" w:type="dxa"/>
            <w:shd w:val="clear" w:color="auto" w:fill="auto"/>
            <w:tcMar>
              <w:top w:w="100" w:type="dxa"/>
              <w:left w:w="100" w:type="dxa"/>
              <w:bottom w:w="100" w:type="dxa"/>
              <w:right w:w="100" w:type="dxa"/>
            </w:tcMar>
          </w:tcPr>
          <w:p w:rsidR="005061E8" w:rsidRDefault="005061E8">
            <w:pPr>
              <w:widowControl w:val="0"/>
              <w:pBdr>
                <w:top w:val="nil"/>
                <w:left w:val="nil"/>
                <w:bottom w:val="nil"/>
                <w:right w:val="nil"/>
                <w:between w:val="nil"/>
              </w:pBdr>
              <w:rPr>
                <w:highlight w:val="white"/>
              </w:rPr>
            </w:pPr>
          </w:p>
        </w:tc>
        <w:tc>
          <w:tcPr>
            <w:tcW w:w="957" w:type="dxa"/>
            <w:shd w:val="clear" w:color="auto" w:fill="auto"/>
            <w:tcMar>
              <w:top w:w="100" w:type="dxa"/>
              <w:left w:w="100" w:type="dxa"/>
              <w:bottom w:w="100" w:type="dxa"/>
              <w:right w:w="100" w:type="dxa"/>
            </w:tcMar>
          </w:tcPr>
          <w:p w:rsidR="005061E8" w:rsidRDefault="005061E8">
            <w:pPr>
              <w:widowControl w:val="0"/>
              <w:pBdr>
                <w:top w:val="nil"/>
                <w:left w:val="nil"/>
                <w:bottom w:val="nil"/>
                <w:right w:val="nil"/>
                <w:between w:val="nil"/>
              </w:pBdr>
              <w:rPr>
                <w:highlight w:val="white"/>
              </w:rPr>
            </w:pPr>
          </w:p>
        </w:tc>
        <w:tc>
          <w:tcPr>
            <w:tcW w:w="1331" w:type="dxa"/>
            <w:shd w:val="clear" w:color="auto" w:fill="auto"/>
            <w:tcMar>
              <w:top w:w="100" w:type="dxa"/>
              <w:left w:w="100" w:type="dxa"/>
              <w:bottom w:w="100" w:type="dxa"/>
              <w:right w:w="100" w:type="dxa"/>
            </w:tcMar>
          </w:tcPr>
          <w:p w:rsidR="005061E8" w:rsidRDefault="005061E8">
            <w:pPr>
              <w:widowControl w:val="0"/>
              <w:pBdr>
                <w:top w:val="nil"/>
                <w:left w:val="nil"/>
                <w:bottom w:val="nil"/>
                <w:right w:val="nil"/>
                <w:between w:val="nil"/>
              </w:pBdr>
              <w:rPr>
                <w:highlight w:val="white"/>
              </w:rPr>
            </w:pPr>
          </w:p>
        </w:tc>
        <w:tc>
          <w:tcPr>
            <w:tcW w:w="1415" w:type="dxa"/>
            <w:shd w:val="clear" w:color="auto" w:fill="auto"/>
            <w:tcMar>
              <w:top w:w="100" w:type="dxa"/>
              <w:left w:w="100" w:type="dxa"/>
              <w:bottom w:w="100" w:type="dxa"/>
              <w:right w:w="100" w:type="dxa"/>
            </w:tcMar>
          </w:tcPr>
          <w:p w:rsidR="005061E8" w:rsidRDefault="005061E8">
            <w:pPr>
              <w:widowControl w:val="0"/>
              <w:pBdr>
                <w:top w:val="nil"/>
                <w:left w:val="nil"/>
                <w:bottom w:val="nil"/>
                <w:right w:val="nil"/>
                <w:between w:val="nil"/>
              </w:pBdr>
              <w:rPr>
                <w:highlight w:val="white"/>
              </w:rPr>
            </w:pPr>
          </w:p>
        </w:tc>
        <w:tc>
          <w:tcPr>
            <w:tcW w:w="1258" w:type="dxa"/>
            <w:shd w:val="clear" w:color="auto" w:fill="auto"/>
            <w:tcMar>
              <w:top w:w="100" w:type="dxa"/>
              <w:left w:w="100" w:type="dxa"/>
              <w:bottom w:w="100" w:type="dxa"/>
              <w:right w:w="100" w:type="dxa"/>
            </w:tcMar>
          </w:tcPr>
          <w:p w:rsidR="005061E8" w:rsidRDefault="005061E8">
            <w:pPr>
              <w:widowControl w:val="0"/>
              <w:pBdr>
                <w:top w:val="nil"/>
                <w:left w:val="nil"/>
                <w:bottom w:val="nil"/>
                <w:right w:val="nil"/>
                <w:between w:val="nil"/>
              </w:pBdr>
              <w:rPr>
                <w:highlight w:val="white"/>
              </w:rPr>
            </w:pPr>
          </w:p>
        </w:tc>
        <w:tc>
          <w:tcPr>
            <w:tcW w:w="1271" w:type="dxa"/>
            <w:shd w:val="clear" w:color="auto" w:fill="auto"/>
            <w:tcMar>
              <w:top w:w="100" w:type="dxa"/>
              <w:left w:w="100" w:type="dxa"/>
              <w:bottom w:w="100" w:type="dxa"/>
              <w:right w:w="100" w:type="dxa"/>
            </w:tcMar>
          </w:tcPr>
          <w:p w:rsidR="005061E8" w:rsidRDefault="005061E8">
            <w:pPr>
              <w:widowControl w:val="0"/>
              <w:pBdr>
                <w:top w:val="nil"/>
                <w:left w:val="nil"/>
                <w:bottom w:val="nil"/>
                <w:right w:val="nil"/>
                <w:between w:val="nil"/>
              </w:pBdr>
              <w:rPr>
                <w:highlight w:val="white"/>
              </w:rPr>
            </w:pPr>
          </w:p>
        </w:tc>
      </w:tr>
    </w:tbl>
    <w:p w:rsidR="005061E8" w:rsidRDefault="00AE5232">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 Підрядники, які надають медичні послуги за договором, згідно з цим додатком</w:t>
      </w:r>
    </w:p>
    <w:tbl>
      <w:tblPr>
        <w:tblStyle w:val="a6"/>
        <w:tblW w:w="139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34"/>
        <w:gridCol w:w="1428"/>
        <w:gridCol w:w="2220"/>
        <w:gridCol w:w="1470"/>
        <w:gridCol w:w="1568"/>
        <w:gridCol w:w="1413"/>
        <w:gridCol w:w="1356"/>
        <w:gridCol w:w="2275"/>
      </w:tblGrid>
      <w:tr w:rsidR="005061E8">
        <w:trPr>
          <w:trHeight w:val="935"/>
        </w:trPr>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61E8" w:rsidRDefault="00AE5232">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Найменування</w:t>
            </w:r>
          </w:p>
          <w:p w:rsidR="005061E8" w:rsidRDefault="00AE5232">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підрядника</w:t>
            </w:r>
          </w:p>
        </w:tc>
        <w:tc>
          <w:tcPr>
            <w:tcW w:w="1427"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61E8" w:rsidRDefault="00AE5232">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ЄДРПОУ</w:t>
            </w:r>
          </w:p>
          <w:p w:rsidR="005061E8" w:rsidRDefault="00AE5232">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61E8" w:rsidRDefault="00AE5232">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47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61E8" w:rsidRDefault="00AE5232">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Вид медичної</w:t>
            </w:r>
          </w:p>
          <w:p w:rsidR="005061E8" w:rsidRDefault="00AE5232">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послуги/групи послуг</w:t>
            </w:r>
          </w:p>
        </w:tc>
        <w:tc>
          <w:tcPr>
            <w:tcW w:w="1568"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61E8" w:rsidRDefault="00AE5232">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 договору з підрядником</w:t>
            </w:r>
          </w:p>
        </w:tc>
        <w:tc>
          <w:tcPr>
            <w:tcW w:w="1413"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61E8" w:rsidRDefault="00AE5232">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укладення договору з підрядником</w:t>
            </w:r>
          </w:p>
        </w:tc>
        <w:tc>
          <w:tcPr>
            <w:tcW w:w="1356"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61E8" w:rsidRDefault="00AE5232">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початку строку дії договору з підрядником</w:t>
            </w:r>
          </w:p>
        </w:tc>
        <w:tc>
          <w:tcPr>
            <w:tcW w:w="227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61E8" w:rsidRDefault="00AE5232">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закінчення строку дії договору з підрядником</w:t>
            </w:r>
          </w:p>
        </w:tc>
      </w:tr>
      <w:tr w:rsidR="005061E8">
        <w:trPr>
          <w:trHeight w:val="1310"/>
        </w:trPr>
        <w:tc>
          <w:tcPr>
            <w:tcW w:w="2233"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61E8" w:rsidRDefault="00AE5232">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427" w:type="dxa"/>
            <w:tcBorders>
              <w:bottom w:val="single" w:sz="8" w:space="0" w:color="000000"/>
              <w:right w:val="single" w:sz="8" w:space="0" w:color="000000"/>
            </w:tcBorders>
            <w:shd w:val="clear" w:color="auto" w:fill="FFFFFF"/>
            <w:tcMar>
              <w:top w:w="100" w:type="dxa"/>
              <w:left w:w="100" w:type="dxa"/>
              <w:bottom w:w="100" w:type="dxa"/>
              <w:right w:w="100" w:type="dxa"/>
            </w:tcMar>
          </w:tcPr>
          <w:p w:rsidR="005061E8" w:rsidRDefault="00AE5232">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bottom w:val="single" w:sz="8" w:space="0" w:color="000000"/>
              <w:right w:val="single" w:sz="8" w:space="0" w:color="000000"/>
            </w:tcBorders>
            <w:shd w:val="clear" w:color="auto" w:fill="FFFFFF"/>
            <w:tcMar>
              <w:top w:w="100" w:type="dxa"/>
              <w:left w:w="100" w:type="dxa"/>
              <w:bottom w:w="100" w:type="dxa"/>
              <w:right w:w="100" w:type="dxa"/>
            </w:tcMar>
          </w:tcPr>
          <w:p w:rsidR="005061E8" w:rsidRDefault="005061E8">
            <w:pPr>
              <w:rPr>
                <w:highlight w:val="white"/>
              </w:rPr>
            </w:pPr>
          </w:p>
        </w:tc>
        <w:tc>
          <w:tcPr>
            <w:tcW w:w="1470" w:type="dxa"/>
            <w:tcBorders>
              <w:bottom w:val="single" w:sz="8" w:space="0" w:color="000000"/>
              <w:right w:val="single" w:sz="8" w:space="0" w:color="000000"/>
            </w:tcBorders>
            <w:shd w:val="clear" w:color="auto" w:fill="FFFFFF"/>
            <w:tcMar>
              <w:top w:w="100" w:type="dxa"/>
              <w:left w:w="100" w:type="dxa"/>
              <w:bottom w:w="100" w:type="dxa"/>
              <w:right w:w="100" w:type="dxa"/>
            </w:tcMar>
          </w:tcPr>
          <w:p w:rsidR="005061E8" w:rsidRDefault="005061E8">
            <w:pPr>
              <w:widowControl w:val="0"/>
              <w:pBdr>
                <w:top w:val="nil"/>
                <w:left w:val="nil"/>
                <w:bottom w:val="nil"/>
                <w:right w:val="nil"/>
                <w:between w:val="nil"/>
              </w:pBdr>
              <w:rPr>
                <w:highlight w:val="white"/>
              </w:rPr>
            </w:pPr>
          </w:p>
        </w:tc>
        <w:tc>
          <w:tcPr>
            <w:tcW w:w="1568" w:type="dxa"/>
            <w:tcBorders>
              <w:bottom w:val="single" w:sz="8" w:space="0" w:color="000000"/>
              <w:right w:val="single" w:sz="8" w:space="0" w:color="000000"/>
            </w:tcBorders>
            <w:shd w:val="clear" w:color="auto" w:fill="FFFFFF"/>
            <w:tcMar>
              <w:top w:w="100" w:type="dxa"/>
              <w:left w:w="100" w:type="dxa"/>
              <w:bottom w:w="100" w:type="dxa"/>
              <w:right w:w="100" w:type="dxa"/>
            </w:tcMar>
          </w:tcPr>
          <w:p w:rsidR="005061E8" w:rsidRDefault="005061E8">
            <w:pPr>
              <w:widowControl w:val="0"/>
              <w:pBdr>
                <w:top w:val="nil"/>
                <w:left w:val="nil"/>
                <w:bottom w:val="nil"/>
                <w:right w:val="nil"/>
                <w:between w:val="nil"/>
              </w:pBdr>
              <w:rPr>
                <w:highlight w:val="white"/>
              </w:rPr>
            </w:pPr>
          </w:p>
        </w:tc>
        <w:tc>
          <w:tcPr>
            <w:tcW w:w="1413" w:type="dxa"/>
            <w:tcBorders>
              <w:bottom w:val="single" w:sz="8" w:space="0" w:color="000000"/>
              <w:right w:val="single" w:sz="8" w:space="0" w:color="000000"/>
            </w:tcBorders>
            <w:shd w:val="clear" w:color="auto" w:fill="FFFFFF"/>
            <w:tcMar>
              <w:top w:w="100" w:type="dxa"/>
              <w:left w:w="100" w:type="dxa"/>
              <w:bottom w:w="100" w:type="dxa"/>
              <w:right w:w="100" w:type="dxa"/>
            </w:tcMar>
          </w:tcPr>
          <w:p w:rsidR="005061E8" w:rsidRDefault="00AE5232">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356" w:type="dxa"/>
            <w:tcBorders>
              <w:bottom w:val="single" w:sz="8" w:space="0" w:color="000000"/>
              <w:right w:val="single" w:sz="8" w:space="0" w:color="000000"/>
            </w:tcBorders>
            <w:shd w:val="clear" w:color="auto" w:fill="FFFFFF"/>
            <w:tcMar>
              <w:top w:w="100" w:type="dxa"/>
              <w:left w:w="100" w:type="dxa"/>
              <w:bottom w:w="100" w:type="dxa"/>
              <w:right w:w="100" w:type="dxa"/>
            </w:tcMar>
          </w:tcPr>
          <w:p w:rsidR="005061E8" w:rsidRDefault="005061E8">
            <w:pPr>
              <w:rPr>
                <w:highlight w:val="white"/>
              </w:rPr>
            </w:pPr>
          </w:p>
        </w:tc>
        <w:tc>
          <w:tcPr>
            <w:tcW w:w="2275" w:type="dxa"/>
            <w:tcBorders>
              <w:bottom w:val="single" w:sz="8" w:space="0" w:color="000000"/>
              <w:right w:val="single" w:sz="8" w:space="0" w:color="000000"/>
            </w:tcBorders>
            <w:shd w:val="clear" w:color="auto" w:fill="FFFFFF"/>
            <w:tcMar>
              <w:top w:w="100" w:type="dxa"/>
              <w:left w:w="100" w:type="dxa"/>
              <w:bottom w:w="100" w:type="dxa"/>
              <w:right w:w="100" w:type="dxa"/>
            </w:tcMar>
          </w:tcPr>
          <w:p w:rsidR="005061E8" w:rsidRDefault="00AE5232">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r>
    </w:tbl>
    <w:p w:rsidR="005061E8" w:rsidRDefault="00AE5232">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5061E8" w:rsidRDefault="00AE5232">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5061E8" w:rsidRDefault="00AE5232">
      <w:pPr>
        <w:spacing w:before="120"/>
        <w:ind w:left="1360" w:hanging="6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Запланована вартість медичних послуг становить _____________ гривень, у тому числі ____________________.</w:t>
      </w:r>
    </w:p>
    <w:p w:rsidR="005061E8" w:rsidRDefault="00AE5232">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Сторони можуть протягом строку дії договору переглядати заплановану вартість медичних послуг із внесенням відповідних змін до нього.</w:t>
      </w:r>
    </w:p>
    <w:p w:rsidR="005061E8" w:rsidRDefault="00AE5232">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Інші істот</w:t>
      </w:r>
      <w:r>
        <w:rPr>
          <w:rFonts w:ascii="Times New Roman" w:eastAsia="Times New Roman" w:hAnsi="Times New Roman" w:cs="Times New Roman"/>
          <w:sz w:val="24"/>
          <w:szCs w:val="24"/>
          <w:highlight w:val="white"/>
        </w:rPr>
        <w:t>ні умови** Із урахуванням пункту 16 Порядку укладення, зміни та припинення договору про медичне обслуговування населення за програмою медичних гарантій, затвердженого постановою Кабінету Міністрів України від 25 квітня 2018 р. № 410, у разі відсутності обл</w:t>
      </w:r>
      <w:r>
        <w:rPr>
          <w:rFonts w:ascii="Times New Roman" w:eastAsia="Times New Roman" w:hAnsi="Times New Roman" w:cs="Times New Roman"/>
          <w:sz w:val="24"/>
          <w:szCs w:val="24"/>
          <w:highlight w:val="white"/>
        </w:rPr>
        <w:t>аднання, передбаченого Умовами закупівлі медичних послуг, які надаються згідно з цим додатком (пункт 8.1 цього додатку), надавач, зобов’язується протягом шести місяців із дати початку строку дії Договору, забезпечити наявність та введення в експлуатацію та</w:t>
      </w:r>
      <w:r>
        <w:rPr>
          <w:rFonts w:ascii="Times New Roman" w:eastAsia="Times New Roman" w:hAnsi="Times New Roman" w:cs="Times New Roman"/>
          <w:sz w:val="24"/>
          <w:szCs w:val="24"/>
          <w:highlight w:val="white"/>
        </w:rPr>
        <w:t>кого обладнання.</w:t>
      </w:r>
    </w:p>
    <w:p w:rsidR="005061E8" w:rsidRDefault="00AE5232">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випадку недотримання цієї умови, відповідно до підпункту 6 пункту 52 договору, Замовник має право відмовитися від договору в односторонньому порядку.</w:t>
      </w:r>
    </w:p>
    <w:p w:rsidR="005061E8" w:rsidRDefault="00AE5232">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Звітним періодом є один календарний місяць.</w:t>
      </w:r>
    </w:p>
    <w:p w:rsidR="005061E8" w:rsidRDefault="00AE5232">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Надавач подає звіт про медичні послуги д</w:t>
      </w:r>
      <w:r>
        <w:rPr>
          <w:rFonts w:ascii="Times New Roman" w:eastAsia="Times New Roman" w:hAnsi="Times New Roman" w:cs="Times New Roman"/>
          <w:sz w:val="24"/>
          <w:szCs w:val="24"/>
          <w:highlight w:val="white"/>
        </w:rPr>
        <w:t xml:space="preserve">о 10 числа наступного звітного періоду. </w:t>
      </w:r>
    </w:p>
    <w:p w:rsidR="005061E8" w:rsidRDefault="00AE5232">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У звіті про медичні послуги зазначаються усі послуги за договором, про надання яких станом на 23 годину 59 хвилин останнього дня звітного періоду </w:t>
      </w:r>
      <w:proofErr w:type="spellStart"/>
      <w:r>
        <w:rPr>
          <w:rFonts w:ascii="Times New Roman" w:eastAsia="Times New Roman" w:hAnsi="Times New Roman" w:cs="Times New Roman"/>
          <w:sz w:val="24"/>
          <w:szCs w:val="24"/>
          <w:highlight w:val="white"/>
        </w:rPr>
        <w:t>внесено</w:t>
      </w:r>
      <w:proofErr w:type="spellEnd"/>
      <w:r>
        <w:rPr>
          <w:rFonts w:ascii="Times New Roman" w:eastAsia="Times New Roman" w:hAnsi="Times New Roman" w:cs="Times New Roman"/>
          <w:sz w:val="24"/>
          <w:szCs w:val="24"/>
          <w:highlight w:val="white"/>
        </w:rPr>
        <w:t xml:space="preserve"> інформацію до електронної системи охорони здоров’я (далі - система).</w:t>
      </w:r>
    </w:p>
    <w:p w:rsidR="005061E8" w:rsidRDefault="00AE5232">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Звіт про медичні послуги за остан</w:t>
      </w:r>
      <w:r>
        <w:rPr>
          <w:rFonts w:ascii="Times New Roman" w:eastAsia="Times New Roman" w:hAnsi="Times New Roman" w:cs="Times New Roman"/>
          <w:sz w:val="24"/>
          <w:szCs w:val="24"/>
          <w:highlight w:val="white"/>
        </w:rPr>
        <w:t>ній звітний період подається до 23 грудня та повинен містити дані про надані послуги, інформація про які внесена до системи станом на 23 годину 59 хвилин 20 грудня. Послуги, надані після 20 грудня, включаються до звіту про медичні послуги за січень наступн</w:t>
      </w:r>
      <w:r>
        <w:rPr>
          <w:rFonts w:ascii="Times New Roman" w:eastAsia="Times New Roman" w:hAnsi="Times New Roman" w:cs="Times New Roman"/>
          <w:sz w:val="24"/>
          <w:szCs w:val="24"/>
          <w:highlight w:val="white"/>
        </w:rPr>
        <w:t>ого року відповідно до умов договору.</w:t>
      </w:r>
    </w:p>
    <w:p w:rsidR="005061E8" w:rsidRDefault="00AE5232">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Разом із звітом про медичні послуги надавач подає рахунок, в якому зазначається сума до сплати за звітний період.</w:t>
      </w:r>
    </w:p>
    <w:p w:rsidR="005061E8" w:rsidRDefault="00AE5232">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здійснення авансового платежу надавач подає звіт про медичні послуги у строки, встановлені цим пу</w:t>
      </w:r>
      <w:r>
        <w:rPr>
          <w:rFonts w:ascii="Times New Roman" w:eastAsia="Times New Roman" w:hAnsi="Times New Roman" w:cs="Times New Roman"/>
          <w:sz w:val="24"/>
          <w:szCs w:val="24"/>
          <w:highlight w:val="white"/>
        </w:rPr>
        <w:t>нктом, але не пізніше ніж за два робочих дні до граничного строку для подання замовником підтвердних документів органам Казначейства відповідно до законодавства.</w:t>
      </w:r>
    </w:p>
    <w:p w:rsidR="005061E8" w:rsidRDefault="00AE5232">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Разом із звітом про медичні послуги надавач подає рахунок, в якому зазначається сума до сплати</w:t>
      </w:r>
      <w:r>
        <w:rPr>
          <w:rFonts w:ascii="Times New Roman" w:eastAsia="Times New Roman" w:hAnsi="Times New Roman" w:cs="Times New Roman"/>
          <w:sz w:val="24"/>
          <w:szCs w:val="24"/>
          <w:highlight w:val="white"/>
        </w:rPr>
        <w:t xml:space="preserve"> за звітний період, крім сплаченої попередньої оплати за такі послуги. У разі здійснення авансового платежу у рахунку також зазначається сума авансу на наступний звітний період.</w:t>
      </w:r>
    </w:p>
    <w:p w:rsidR="005061E8" w:rsidRDefault="00AE5232">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Гранична сума оплати за медичні послуги за відповідний місяць становить***</w:t>
      </w:r>
    </w:p>
    <w:tbl>
      <w:tblPr>
        <w:tblStyle w:val="a7"/>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97"/>
        <w:gridCol w:w="1667"/>
        <w:gridCol w:w="1965"/>
        <w:gridCol w:w="2322"/>
        <w:gridCol w:w="1908"/>
        <w:gridCol w:w="2079"/>
        <w:gridCol w:w="2507"/>
        <w:gridCol w:w="220"/>
      </w:tblGrid>
      <w:tr w:rsidR="005061E8">
        <w:trPr>
          <w:trHeight w:val="500"/>
        </w:trPr>
        <w:tc>
          <w:tcPr>
            <w:tcW w:w="13756" w:type="dxa"/>
            <w:gridSpan w:val="7"/>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Критерії, за якими встановлено граничну суму оплати</w:t>
            </w:r>
          </w:p>
        </w:tc>
        <w:tc>
          <w:tcPr>
            <w:tcW w:w="204" w:type="dxa"/>
            <w:shd w:val="clear" w:color="auto" w:fill="auto"/>
            <w:tcMar>
              <w:top w:w="100" w:type="dxa"/>
              <w:left w:w="100" w:type="dxa"/>
              <w:bottom w:w="100" w:type="dxa"/>
              <w:right w:w="100" w:type="dxa"/>
            </w:tcMar>
          </w:tcPr>
          <w:p w:rsidR="005061E8" w:rsidRDefault="005061E8">
            <w:pPr>
              <w:ind w:left="120"/>
              <w:rPr>
                <w:highlight w:val="white"/>
              </w:rPr>
            </w:pPr>
          </w:p>
        </w:tc>
      </w:tr>
      <w:tr w:rsidR="005061E8">
        <w:trPr>
          <w:trHeight w:val="890"/>
        </w:trPr>
        <w:tc>
          <w:tcPr>
            <w:tcW w:w="1297" w:type="dxa"/>
            <w:vMerge w:val="restart"/>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Період ,</w:t>
            </w:r>
          </w:p>
          <w:p w:rsidR="005061E8" w:rsidRDefault="00AE5232">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місяць</w:t>
            </w:r>
          </w:p>
        </w:tc>
        <w:tc>
          <w:tcPr>
            <w:tcW w:w="1668"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кількість медичних послуг</w:t>
            </w:r>
          </w:p>
        </w:tc>
        <w:tc>
          <w:tcPr>
            <w:tcW w:w="1967"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2324"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910"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2081"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2509"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Гранична сума оплати, грн</w:t>
            </w:r>
          </w:p>
        </w:tc>
        <w:tc>
          <w:tcPr>
            <w:tcW w:w="204" w:type="dxa"/>
            <w:shd w:val="clear" w:color="auto" w:fill="auto"/>
            <w:tcMar>
              <w:top w:w="100" w:type="dxa"/>
              <w:left w:w="100" w:type="dxa"/>
              <w:bottom w:w="100" w:type="dxa"/>
              <w:right w:w="100" w:type="dxa"/>
            </w:tcMar>
          </w:tcPr>
          <w:p w:rsidR="005061E8" w:rsidRDefault="005061E8">
            <w:pPr>
              <w:ind w:left="120"/>
              <w:rPr>
                <w:highlight w:val="white"/>
              </w:rPr>
            </w:pPr>
          </w:p>
        </w:tc>
      </w:tr>
      <w:tr w:rsidR="005061E8">
        <w:trPr>
          <w:trHeight w:val="890"/>
        </w:trPr>
        <w:tc>
          <w:tcPr>
            <w:tcW w:w="129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5061E8">
            <w:pPr>
              <w:ind w:left="120"/>
              <w:rPr>
                <w:highlight w:val="white"/>
              </w:rPr>
            </w:pPr>
          </w:p>
        </w:tc>
        <w:tc>
          <w:tcPr>
            <w:tcW w:w="166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5061E8">
            <w:pPr>
              <w:ind w:left="120"/>
              <w:rPr>
                <w:highlight w:val="white"/>
              </w:rPr>
            </w:pPr>
          </w:p>
        </w:tc>
        <w:tc>
          <w:tcPr>
            <w:tcW w:w="19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5061E8">
            <w:pPr>
              <w:ind w:left="120"/>
              <w:rPr>
                <w:highlight w:val="white"/>
              </w:rPr>
            </w:pPr>
          </w:p>
        </w:tc>
        <w:tc>
          <w:tcPr>
            <w:tcW w:w="23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5061E8">
            <w:pPr>
              <w:ind w:left="120"/>
              <w:rPr>
                <w:highlight w:val="white"/>
              </w:rPr>
            </w:pPr>
          </w:p>
        </w:tc>
        <w:tc>
          <w:tcPr>
            <w:tcW w:w="191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5061E8">
            <w:pPr>
              <w:ind w:left="120"/>
              <w:rPr>
                <w:highlight w:val="white"/>
              </w:rPr>
            </w:pPr>
          </w:p>
        </w:tc>
        <w:tc>
          <w:tcPr>
            <w:tcW w:w="20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5061E8">
            <w:pPr>
              <w:ind w:left="120"/>
              <w:rPr>
                <w:highlight w:val="white"/>
              </w:rPr>
            </w:pPr>
          </w:p>
        </w:tc>
        <w:tc>
          <w:tcPr>
            <w:tcW w:w="250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5061E8">
            <w:pPr>
              <w:ind w:left="120"/>
              <w:rPr>
                <w:highlight w:val="white"/>
              </w:rPr>
            </w:pPr>
          </w:p>
        </w:tc>
        <w:tc>
          <w:tcPr>
            <w:tcW w:w="204" w:type="dxa"/>
            <w:shd w:val="clear" w:color="auto" w:fill="auto"/>
            <w:tcMar>
              <w:top w:w="100" w:type="dxa"/>
              <w:left w:w="100" w:type="dxa"/>
              <w:bottom w:w="100" w:type="dxa"/>
              <w:right w:w="100" w:type="dxa"/>
            </w:tcMar>
          </w:tcPr>
          <w:p w:rsidR="005061E8" w:rsidRDefault="005061E8">
            <w:pPr>
              <w:ind w:left="120"/>
              <w:rPr>
                <w:highlight w:val="white"/>
              </w:rPr>
            </w:pPr>
          </w:p>
        </w:tc>
      </w:tr>
      <w:tr w:rsidR="005061E8">
        <w:trPr>
          <w:trHeight w:val="53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Квітень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5061E8" w:rsidRDefault="005061E8">
            <w:pPr>
              <w:ind w:left="120"/>
              <w:rPr>
                <w:highlight w:val="white"/>
              </w:rPr>
            </w:pPr>
          </w:p>
        </w:tc>
      </w:tr>
      <w:tr w:rsidR="005061E8">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Травень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5061E8" w:rsidRDefault="005061E8">
            <w:pPr>
              <w:ind w:left="120"/>
              <w:rPr>
                <w:highlight w:val="white"/>
              </w:rPr>
            </w:pPr>
          </w:p>
        </w:tc>
      </w:tr>
      <w:tr w:rsidR="005061E8">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Червень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5061E8" w:rsidRDefault="005061E8">
            <w:pPr>
              <w:ind w:left="120"/>
              <w:rPr>
                <w:highlight w:val="white"/>
              </w:rPr>
            </w:pPr>
          </w:p>
        </w:tc>
      </w:tr>
      <w:tr w:rsidR="005061E8">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Липень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5061E8" w:rsidRDefault="005061E8">
            <w:pPr>
              <w:ind w:left="120"/>
              <w:rPr>
                <w:highlight w:val="white"/>
              </w:rPr>
            </w:pPr>
          </w:p>
        </w:tc>
      </w:tr>
      <w:tr w:rsidR="005061E8">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Серпень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5061E8" w:rsidRDefault="005061E8">
            <w:pPr>
              <w:ind w:left="120"/>
              <w:rPr>
                <w:highlight w:val="white"/>
              </w:rPr>
            </w:pPr>
          </w:p>
        </w:tc>
      </w:tr>
      <w:tr w:rsidR="005061E8">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Вересень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5061E8" w:rsidRDefault="005061E8">
            <w:pPr>
              <w:ind w:left="120"/>
              <w:rPr>
                <w:highlight w:val="white"/>
              </w:rPr>
            </w:pPr>
          </w:p>
        </w:tc>
      </w:tr>
      <w:tr w:rsidR="005061E8">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Жовтень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5061E8" w:rsidRDefault="005061E8">
            <w:pPr>
              <w:ind w:left="120"/>
              <w:rPr>
                <w:highlight w:val="white"/>
              </w:rPr>
            </w:pPr>
          </w:p>
        </w:tc>
      </w:tr>
      <w:tr w:rsidR="005061E8">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Листопад</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5061E8" w:rsidRDefault="005061E8">
            <w:pPr>
              <w:ind w:left="120"/>
              <w:rPr>
                <w:highlight w:val="white"/>
              </w:rPr>
            </w:pPr>
          </w:p>
        </w:tc>
      </w:tr>
      <w:tr w:rsidR="005061E8">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Грудень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5061E8" w:rsidRDefault="00AE5232">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5061E8" w:rsidRDefault="005061E8">
            <w:pPr>
              <w:ind w:left="120"/>
              <w:rPr>
                <w:highlight w:val="white"/>
              </w:rPr>
            </w:pPr>
          </w:p>
        </w:tc>
      </w:tr>
    </w:tbl>
    <w:p w:rsidR="005061E8" w:rsidRDefault="00AE5232">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коли протягом трьох місяців підряд ціна наданих медичних послуг вища або нижча, ніж запланована вартість медичних послуг за відповідний квартал, на вимогу замовника сторони повинні підписати договір про внесення змін до договору, в якому визначити с</w:t>
      </w:r>
      <w:r>
        <w:rPr>
          <w:rFonts w:ascii="Times New Roman" w:eastAsia="Times New Roman" w:hAnsi="Times New Roman" w:cs="Times New Roman"/>
          <w:sz w:val="24"/>
          <w:szCs w:val="24"/>
          <w:highlight w:val="white"/>
        </w:rPr>
        <w:t>кориговані заплановану вартість послуг та у разі потреби граничні суми оплати на наступні місяці. У разі ухилення надавача від підписання договору про внесення змін до договору стосовно коригування ціни договору замовник має право зупинити оплату послуг за</w:t>
      </w:r>
      <w:r>
        <w:rPr>
          <w:rFonts w:ascii="Times New Roman" w:eastAsia="Times New Roman" w:hAnsi="Times New Roman" w:cs="Times New Roman"/>
          <w:sz w:val="24"/>
          <w:szCs w:val="24"/>
          <w:highlight w:val="white"/>
        </w:rPr>
        <w:t xml:space="preserve"> договором.</w:t>
      </w:r>
    </w:p>
    <w:p w:rsidR="005061E8" w:rsidRDefault="00AE5232">
      <w:pPr>
        <w:spacing w:before="120"/>
        <w:ind w:left="720" w:hanging="1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 Надавач зобов’язується:</w:t>
      </w:r>
    </w:p>
    <w:p w:rsidR="005061E8" w:rsidRDefault="00AE5232">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під час надання медичних послуг дотримуватися відповідних порядків надання медичної допомоги та галузевих стандартів у сфері охорони здоров’я, примірних табелів матеріально-технічного оснащення, в тому числі клініч</w:t>
      </w:r>
      <w:r>
        <w:rPr>
          <w:rFonts w:ascii="Times New Roman" w:eastAsia="Times New Roman" w:hAnsi="Times New Roman" w:cs="Times New Roman"/>
          <w:sz w:val="24"/>
          <w:szCs w:val="24"/>
          <w:highlight w:val="white"/>
        </w:rPr>
        <w:t>них протоколів;</w:t>
      </w:r>
    </w:p>
    <w:p w:rsidR="005061E8" w:rsidRDefault="00AE5232">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надавати медичні послуги в обсязі не меншому, ніж визначено в специфікації;</w:t>
      </w:r>
    </w:p>
    <w:p w:rsidR="005061E8" w:rsidRDefault="00AE5232">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інші обов’язки: своєчасно вносити до системи медичну документацію про медичне обслуговування пацієнтів.</w:t>
      </w:r>
    </w:p>
    <w:p w:rsidR="005061E8" w:rsidRDefault="00AE5232">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 Тарифи та коригувальні коефіцієнти визначаються від</w:t>
      </w:r>
      <w:r>
        <w:rPr>
          <w:rFonts w:ascii="Times New Roman" w:eastAsia="Times New Roman" w:hAnsi="Times New Roman" w:cs="Times New Roman"/>
          <w:sz w:val="24"/>
          <w:szCs w:val="24"/>
          <w:highlight w:val="white"/>
        </w:rPr>
        <w:t>повідно до законодавства.</w:t>
      </w:r>
    </w:p>
    <w:p w:rsidR="005061E8" w:rsidRDefault="00AE5232">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 Інші умови</w:t>
      </w:r>
    </w:p>
    <w:p w:rsidR="005061E8" w:rsidRDefault="00AE5232">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8.1 – Умови закупівлі медичних послуг, які надаються згідно з цим додатком</w:t>
      </w:r>
    </w:p>
    <w:p w:rsidR="005061E8" w:rsidRDefault="005061E8">
      <w:pPr>
        <w:spacing w:before="120"/>
        <w:ind w:firstLine="708"/>
        <w:jc w:val="both"/>
        <w:rPr>
          <w:rFonts w:ascii="Times New Roman" w:eastAsia="Times New Roman" w:hAnsi="Times New Roman" w:cs="Times New Roman"/>
          <w:sz w:val="24"/>
          <w:szCs w:val="24"/>
          <w:highlight w:val="white"/>
        </w:rPr>
      </w:pPr>
    </w:p>
    <w:p w:rsidR="005061E8" w:rsidRDefault="00AE5232">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8.2 – Специфікація медичних послуг, які надаються згідно з цим додатком</w:t>
      </w:r>
    </w:p>
    <w:p w:rsidR="005061E8" w:rsidRDefault="005061E8">
      <w:pPr>
        <w:spacing w:before="120"/>
        <w:ind w:firstLine="708"/>
        <w:jc w:val="both"/>
        <w:rPr>
          <w:rFonts w:ascii="Times New Roman" w:eastAsia="Times New Roman" w:hAnsi="Times New Roman" w:cs="Times New Roman"/>
          <w:sz w:val="24"/>
          <w:szCs w:val="24"/>
          <w:highlight w:val="white"/>
        </w:rPr>
      </w:pPr>
    </w:p>
    <w:p w:rsidR="005061E8" w:rsidRDefault="00AE5232">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___________________________________________________________.</w:t>
      </w:r>
    </w:p>
    <w:p w:rsidR="005061E8" w:rsidRDefault="00AE5232">
      <w:pPr>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За</w:t>
      </w:r>
      <w:r>
        <w:rPr>
          <w:rFonts w:ascii="Times New Roman" w:eastAsia="Times New Roman" w:hAnsi="Times New Roman" w:cs="Times New Roman"/>
          <w:sz w:val="20"/>
          <w:szCs w:val="20"/>
          <w:highlight w:val="white"/>
        </w:rPr>
        <w:t>лежно від виду послуг можуть зазначатися, зокрема, такі показники, як територія обслуговування, запланований середній індекс структури випадків, наявне населення.</w:t>
      </w:r>
    </w:p>
    <w:p w:rsidR="005061E8" w:rsidRDefault="00AE5232">
      <w:pPr>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Заповнюється у разі потреби, якщо оплата здійснюється нерівними частинами протягом строку</w:t>
      </w:r>
      <w:r>
        <w:rPr>
          <w:rFonts w:ascii="Times New Roman" w:eastAsia="Times New Roman" w:hAnsi="Times New Roman" w:cs="Times New Roman"/>
          <w:sz w:val="20"/>
          <w:szCs w:val="20"/>
          <w:highlight w:val="white"/>
        </w:rPr>
        <w:t xml:space="preserve"> дії договору. Критеріями для встановлення граничної суми оплати можуть бути усі або окремі послуги, або окремі групи послуг із зазначенням інформації про те, чи встановлена гранична сума оплати для надавача загалом або окремого місця надання медичних посл</w:t>
      </w:r>
      <w:r>
        <w:rPr>
          <w:rFonts w:ascii="Times New Roman" w:eastAsia="Times New Roman" w:hAnsi="Times New Roman" w:cs="Times New Roman"/>
          <w:sz w:val="20"/>
          <w:szCs w:val="20"/>
          <w:highlight w:val="white"/>
        </w:rPr>
        <w:t>уг.</w:t>
      </w:r>
    </w:p>
    <w:p w:rsidR="005061E8" w:rsidRDefault="00AE5232">
      <w:pPr>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w:t>
      </w:r>
    </w:p>
    <w:p w:rsidR="005061E8" w:rsidRDefault="00AE5232">
      <w:pPr>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rsidR="005061E8" w:rsidRDefault="005061E8">
      <w:pPr>
        <w:rPr>
          <w:highlight w:val="white"/>
        </w:rPr>
      </w:pPr>
    </w:p>
    <w:sectPr w:rsidR="005061E8">
      <w:pgSz w:w="16838" w:h="11906"/>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1E8"/>
    <w:rsid w:val="005061E8"/>
    <w:rsid w:val="00AE52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877DD1-73EF-4F2B-B7F6-211E7140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3545</Words>
  <Characters>2021</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Пилипенко Наталія Миколаївна</cp:lastModifiedBy>
  <cp:revision>2</cp:revision>
  <dcterms:created xsi:type="dcterms:W3CDTF">2020-03-10T13:12:00Z</dcterms:created>
  <dcterms:modified xsi:type="dcterms:W3CDTF">2020-03-10T13:12:00Z</dcterms:modified>
</cp:coreProperties>
</file>