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9A8383E" Type="http://schemas.openxmlformats.org/officeDocument/2006/relationships/officeDocument" Target="/word/document.xml" /><Relationship Id="coreR9A8383E"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spacing w:lineRule="auto" w:line="240" w:beforeAutospacing="0" w:afterAutospacing="0"/>
        <w:ind w:hanging="1134" w:left="13040"/>
        <w:rPr>
          <w:rFonts w:ascii="Times New Roman" w:hAnsi="Times New Roman"/>
          <w:sz w:val="24"/>
          <w:highlight w:val="white"/>
        </w:rPr>
      </w:pPr>
      <w:bookmarkStart w:id="0" w:name="_GoBack"/>
      <w:bookmarkEnd w:id="0"/>
      <w:r>
        <w:rPr>
          <w:rFonts w:ascii="Times New Roman" w:hAnsi="Times New Roman"/>
          <w:sz w:val="24"/>
          <w:highlight w:val="white"/>
        </w:rPr>
        <w:t>Додаток ___</w:t>
      </w:r>
    </w:p>
    <w:p>
      <w:pPr>
        <w:spacing w:lineRule="auto" w:line="240" w:beforeAutospacing="0" w:afterAutospacing="0"/>
        <w:ind w:hanging="1134" w:left="13040"/>
        <w:rPr>
          <w:rFonts w:ascii="Times New Roman" w:hAnsi="Times New Roman"/>
          <w:sz w:val="24"/>
          <w:highlight w:val="white"/>
        </w:rPr>
      </w:pPr>
      <w:r>
        <w:rPr>
          <w:rFonts w:ascii="Times New Roman" w:hAnsi="Times New Roman"/>
          <w:sz w:val="24"/>
          <w:highlight w:val="white"/>
        </w:rPr>
        <w:t>до договору</w:t>
      </w:r>
    </w:p>
    <w:p>
      <w:pPr>
        <w:spacing w:lineRule="auto" w:line="240" w:beforeAutospacing="0" w:afterAutospacing="0"/>
        <w:jc w:val="center"/>
        <w:rPr>
          <w:rFonts w:ascii="Times New Roman" w:hAnsi="Times New Roman"/>
          <w:sz w:val="28"/>
          <w:highlight w:val="white"/>
        </w:rPr>
      </w:pPr>
      <w:r>
        <w:rPr>
          <w:rFonts w:ascii="Times New Roman" w:hAnsi="Times New Roman"/>
          <w:sz w:val="28"/>
          <w:highlight w:val="white"/>
        </w:rPr>
        <w:t>СПЕЦІАЛЬНІ УМОВИ</w:t>
      </w:r>
    </w:p>
    <w:p>
      <w:pPr>
        <w:spacing w:lineRule="auto" w:line="240" w:beforeAutospacing="0" w:afterAutospacing="0"/>
        <w:jc w:val="center"/>
        <w:rPr>
          <w:rFonts w:ascii="Times New Roman" w:hAnsi="Times New Roman"/>
          <w:sz w:val="28"/>
          <w:highlight w:val="white"/>
        </w:rPr>
      </w:pPr>
      <w:r>
        <w:rPr>
          <w:rFonts w:ascii="Times New Roman" w:hAnsi="Times New Roman"/>
          <w:sz w:val="28"/>
          <w:highlight w:val="white"/>
        </w:rPr>
        <w:t>надання інших медичних послуг</w:t>
      </w:r>
    </w:p>
    <w:p>
      <w:pPr>
        <w:spacing w:before="120" w:beforeAutospacing="0" w:afterAutospacing="0"/>
        <w:ind w:hanging="571" w:left="1280"/>
        <w:jc w:val="both"/>
        <w:rPr>
          <w:rFonts w:ascii="Times New Roman" w:hAnsi="Times New Roman"/>
          <w:sz w:val="24"/>
          <w:highlight w:val="white"/>
        </w:rPr>
      </w:pPr>
      <w:r>
        <w:rPr>
          <w:rFonts w:ascii="Times New Roman" w:hAnsi="Times New Roman"/>
          <w:sz w:val="24"/>
          <w:highlight w:val="white"/>
        </w:rPr>
        <w:t>1.</w:t>
      </w:r>
      <w:r>
        <w:rPr>
          <w:rFonts w:ascii="Times New Roman" w:hAnsi="Times New Roman"/>
          <w:sz w:val="14"/>
          <w:highlight w:val="white"/>
        </w:rPr>
        <w:t xml:space="preserve">     </w:t>
      </w:r>
      <w:r>
        <w:rPr>
          <w:rFonts w:ascii="Times New Roman" w:hAnsi="Times New Roman"/>
          <w:sz w:val="24"/>
          <w:highlight w:val="white"/>
        </w:rPr>
        <w:t xml:space="preserve"> </w:t>
      </w:r>
    </w:p>
    <w:p>
      <w:pPr>
        <w:spacing w:before="120" w:beforeAutospacing="0" w:afterAutospacing="0"/>
        <w:ind w:hanging="571" w:left="1280"/>
        <w:jc w:val="both"/>
        <w:rPr>
          <w:rFonts w:ascii="Times New Roman" w:hAnsi="Times New Roman"/>
          <w:sz w:val="24"/>
          <w:highlight w:val="white"/>
        </w:rPr>
      </w:pPr>
      <w:r>
        <w:rPr>
          <w:rFonts w:ascii="Times New Roman" w:hAnsi="Times New Roman"/>
          <w:sz w:val="24"/>
          <w:highlight w:val="white"/>
        </w:rPr>
        <w:t>1.1. Надавач зобов’язується надавати згідно з договором такі медичні послуги</w:t>
      </w:r>
    </w:p>
    <w:p>
      <w:pPr>
        <w:spacing w:before="120" w:beforeAutospacing="0" w:afterAutospacing="0"/>
        <w:ind w:left="920"/>
        <w:jc w:val="both"/>
        <w:rPr>
          <w:rFonts w:ascii="Times New Roman" w:hAnsi="Times New Roman"/>
          <w:sz w:val="24"/>
          <w:highlight w:val="white"/>
        </w:rPr>
      </w:pPr>
      <w:r>
        <w:rPr>
          <w:rFonts w:ascii="Times New Roman" w:hAnsi="Times New Roman"/>
          <w:sz w:val="24"/>
          <w:highlight w:val="white"/>
        </w:rPr>
        <w:t xml:space="preserve"> </w:t>
      </w:r>
    </w:p>
    <w:tbl>
      <w:tblPr>
        <w:tblStyle w:val="T2"/>
        <w:tblW w:w="13964" w:type="dxa"/>
        <w:tblBorders>
          <w:top w:val="none" w:sz="0" w:space="0" w:shadow="0" w:frame="0" w:color="000000"/>
          <w:left w:val="none" w:sz="0" w:space="0" w:shadow="0" w:frame="0" w:color="000000"/>
          <w:bottom w:val="none" w:sz="0" w:space="0" w:shadow="0" w:frame="0" w:color="000000"/>
          <w:right w:val="none" w:sz="0" w:space="0" w:shadow="0" w:frame="0" w:color="000000"/>
          <w:insideH w:val="none" w:sz="0" w:space="0" w:shadow="0" w:frame="0" w:color="000000"/>
          <w:insideV w:val="none" w:sz="0" w:space="0" w:shadow="0" w:frame="0" w:color="000000"/>
        </w:tblBorders>
        <w:tblLayout w:type="fixed"/>
        <w:tblLook w:val="0600"/>
      </w:tblPr>
      <w:tblGrid/>
      <w:tr>
        <w:trPr>
          <w:trHeight w:hRule="atLeast" w:val="515"/>
        </w:trPr>
        <w:tc>
          <w:tcPr>
            <w:tcW w:w="824" w:type="dxa"/>
            <w:vMerge w:val="restart"/>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Номер</w:t>
            </w:r>
          </w:p>
        </w:tc>
        <w:tc>
          <w:tcPr>
            <w:tcW w:w="981" w:type="dxa"/>
            <w:vMerge w:val="restart"/>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Код медичної послуги або групи послуг</w:t>
            </w:r>
          </w:p>
        </w:tc>
        <w:tc>
          <w:tcPr>
            <w:tcW w:w="1150" w:type="dxa"/>
            <w:vMerge w:val="restart"/>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Назва медичної послуги або групи послуг</w:t>
            </w:r>
          </w:p>
        </w:tc>
        <w:tc>
          <w:tcPr>
            <w:tcW w:w="1150" w:type="dxa"/>
            <w:vMerge w:val="restart"/>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Адреса місця надання медичних послуг</w:t>
            </w:r>
          </w:p>
        </w:tc>
        <w:tc>
          <w:tcPr>
            <w:tcW w:w="1005" w:type="dxa"/>
            <w:vMerge w:val="restart"/>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rPr>
                <w:rFonts w:ascii="Times New Roman" w:hAnsi="Times New Roman"/>
                <w:b w:val="1"/>
                <w:sz w:val="16"/>
                <w:highlight w:val=""/>
              </w:rPr>
            </w:pPr>
            <w:r>
              <w:rPr>
                <w:rFonts w:ascii="Times New Roman" w:hAnsi="Times New Roman"/>
                <w:b w:val="1"/>
                <w:sz w:val="16"/>
                <w:highlight w:val=""/>
              </w:rPr>
              <w:t>Одиниця медичної послуги</w:t>
            </w:r>
          </w:p>
        </w:tc>
        <w:tc>
          <w:tcPr>
            <w:tcW w:w="1198" w:type="dxa"/>
            <w:vMerge w:val="restart"/>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Запланована</w:t>
            </w:r>
          </w:p>
          <w:p>
            <w:pPr>
              <w:jc w:val="center"/>
              <w:rPr>
                <w:rFonts w:ascii="Times New Roman" w:hAnsi="Times New Roman"/>
                <w:b w:val="1"/>
                <w:sz w:val="16"/>
                <w:highlight w:val=""/>
              </w:rPr>
            </w:pPr>
            <w:r>
              <w:rPr>
                <w:rFonts w:ascii="Times New Roman" w:hAnsi="Times New Roman"/>
                <w:b w:val="1"/>
                <w:sz w:val="16"/>
                <w:highlight w:val=""/>
              </w:rPr>
              <w:t>кількість медичних послуг</w:t>
            </w:r>
          </w:p>
        </w:tc>
        <w:tc>
          <w:tcPr>
            <w:tcW w:w="1419" w:type="dxa"/>
            <w:gridSpan w:val="2"/>
            <w:tcBorders>
              <w:top w:val="single" w:sz="8" w:space="0" w:shadow="0" w:frame="0" w:color="000000"/>
              <w:bottom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 xml:space="preserve"> </w:t>
            </w:r>
          </w:p>
        </w:tc>
        <w:tc>
          <w:tcPr>
            <w:tcW w:w="6232" w:type="dxa"/>
            <w:gridSpan w:val="5"/>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Запланована вартість медичних послуг</w:t>
            </w:r>
          </w:p>
        </w:tc>
      </w:tr>
      <w:tr>
        <w:trPr>
          <w:trHeight w:hRule="atLeast" w:val="1310"/>
        </w:trPr>
        <w:tc>
          <w:tcPr>
            <w:tcW w:w="824"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981"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50"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50"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005"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98"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62"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Глобальний бюджет, грн</w:t>
            </w:r>
          </w:p>
        </w:tc>
        <w:tc>
          <w:tcPr>
            <w:tcW w:w="1214" w:type="dxa"/>
            <w:gridSpan w:val="2"/>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Тариф (ставка), грн</w:t>
            </w:r>
          </w:p>
        </w:tc>
        <w:tc>
          <w:tcPr>
            <w:tcW w:w="1331"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Коригувальні коефіцієнти</w:t>
            </w:r>
          </w:p>
        </w:tc>
        <w:tc>
          <w:tcPr>
            <w:tcW w:w="1415"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Значення коефіцієнтів</w:t>
            </w:r>
          </w:p>
        </w:tc>
        <w:tc>
          <w:tcPr>
            <w:tcW w:w="1258"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Бюджет оплати за випадок/послугу, грн</w:t>
            </w:r>
          </w:p>
        </w:tc>
        <w:tc>
          <w:tcPr>
            <w:tcW w:w="1271"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Запланована вартість медичних послуг, грн</w:t>
            </w:r>
          </w:p>
        </w:tc>
      </w:tr>
      <w:tr>
        <w:trPr>
          <w:trHeight w:hRule="atLeast" w:val="2570"/>
        </w:trPr>
        <w:tc>
          <w:tcPr>
            <w:tcW w:w="824" w:type="dxa"/>
            <w:tcBorders>
              <w:left w:val="single" w:sz="8" w:space="0" w:shadow="0" w:frame="0" w:color="000000"/>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center"/>
              <w:rPr>
                <w:sz w:val="16"/>
                <w:highlight w:val="white"/>
              </w:rPr>
            </w:pPr>
            <w:r>
              <w:rPr>
                <w:sz w:val="16"/>
                <w:highlight w:val="white"/>
              </w:rPr>
              <w:t xml:space="preserve"> </w:t>
            </w:r>
          </w:p>
        </w:tc>
        <w:tc>
          <w:tcPr>
            <w:tcW w:w="98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center"/>
              <w:rPr>
                <w:sz w:val="16"/>
                <w:highlight w:val="white"/>
              </w:rPr>
            </w:pPr>
            <w:r>
              <w:rPr>
                <w:sz w:val="16"/>
                <w:highlight w:val="white"/>
              </w:rPr>
              <w:t xml:space="preserve"> </w:t>
            </w:r>
          </w:p>
        </w:tc>
        <w:tc>
          <w:tcPr>
            <w:tcW w:w="115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center"/>
              <w:rPr>
                <w:sz w:val="16"/>
                <w:highlight w:val="white"/>
              </w:rPr>
            </w:pPr>
            <w:r>
              <w:rPr>
                <w:sz w:val="16"/>
                <w:highlight w:val="white"/>
              </w:rPr>
              <w:t xml:space="preserve"> </w:t>
            </w:r>
          </w:p>
        </w:tc>
        <w:tc>
          <w:tcPr>
            <w:tcW w:w="115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center"/>
              <w:rPr>
                <w:sz w:val="16"/>
                <w:highlight w:val="white"/>
              </w:rPr>
            </w:pPr>
            <w:r>
              <w:rPr>
                <w:sz w:val="16"/>
                <w:highlight w:val="white"/>
              </w:rPr>
              <w:t xml:space="preserve"> </w:t>
            </w:r>
          </w:p>
        </w:tc>
        <w:tc>
          <w:tcPr>
            <w:tcW w:w="1005"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center"/>
              <w:rPr>
                <w:sz w:val="16"/>
                <w:highlight w:val="white"/>
              </w:rPr>
            </w:pPr>
            <w:r>
              <w:rPr>
                <w:sz w:val="16"/>
                <w:highlight w:val="white"/>
              </w:rPr>
              <w:t xml:space="preserve"> </w:t>
            </w:r>
          </w:p>
        </w:tc>
        <w:tc>
          <w:tcPr>
            <w:tcW w:w="119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center"/>
              <w:rPr>
                <w:sz w:val="16"/>
                <w:highlight w:val="white"/>
              </w:rPr>
            </w:pPr>
            <w:r>
              <w:rPr>
                <w:sz w:val="16"/>
                <w:highlight w:val="white"/>
              </w:rPr>
              <w:t xml:space="preserve"> </w:t>
            </w:r>
          </w:p>
        </w:tc>
        <w:tc>
          <w:tcPr>
            <w:tcW w:w="1162"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right"/>
              <w:rPr>
                <w:sz w:val="16"/>
                <w:highlight w:val="white"/>
              </w:rPr>
            </w:pPr>
            <w:r>
              <w:rPr>
                <w:sz w:val="16"/>
                <w:highlight w:val="white"/>
              </w:rPr>
              <w:t xml:space="preserve"> </w:t>
            </w:r>
          </w:p>
        </w:tc>
        <w:tc>
          <w:tcPr>
            <w:tcW w:w="1214" w:type="dxa"/>
            <w:gridSpan w:val="2"/>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right"/>
              <w:rPr>
                <w:sz w:val="16"/>
                <w:highlight w:val="white"/>
              </w:rPr>
            </w:pPr>
            <w:r>
              <w:rPr>
                <w:sz w:val="16"/>
                <w:highlight w:val="white"/>
              </w:rPr>
              <w:t xml:space="preserve"> </w:t>
            </w:r>
          </w:p>
        </w:tc>
        <w:tc>
          <w:tcPr>
            <w:tcW w:w="133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center"/>
              <w:rPr>
                <w:sz w:val="16"/>
                <w:highlight w:val="white"/>
              </w:rPr>
            </w:pPr>
            <w:r>
              <w:rPr>
                <w:sz w:val="16"/>
                <w:highlight w:val="white"/>
              </w:rPr>
              <w:t xml:space="preserve"> </w:t>
            </w:r>
          </w:p>
        </w:tc>
        <w:tc>
          <w:tcPr>
            <w:tcW w:w="1415"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right"/>
              <w:rPr>
                <w:sz w:val="16"/>
                <w:highlight w:val="white"/>
              </w:rPr>
            </w:pPr>
            <w:r>
              <w:rPr>
                <w:sz w:val="16"/>
                <w:highlight w:val="white"/>
              </w:rPr>
              <w:t xml:space="preserve"> </w:t>
            </w:r>
          </w:p>
        </w:tc>
        <w:tc>
          <w:tcPr>
            <w:tcW w:w="125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right"/>
              <w:rPr>
                <w:sz w:val="16"/>
                <w:highlight w:val="white"/>
              </w:rPr>
            </w:pPr>
            <w:r>
              <w:rPr>
                <w:sz w:val="16"/>
                <w:highlight w:val="white"/>
              </w:rPr>
              <w:t xml:space="preserve"> </w:t>
            </w:r>
          </w:p>
        </w:tc>
        <w:tc>
          <w:tcPr>
            <w:tcW w:w="127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jc w:val="right"/>
              <w:rPr>
                <w:sz w:val="16"/>
                <w:highlight w:val="white"/>
              </w:rPr>
            </w:pPr>
            <w:r>
              <w:rPr>
                <w:sz w:val="16"/>
                <w:highlight w:val="white"/>
              </w:rPr>
              <w:t xml:space="preserve"> </w:t>
            </w:r>
          </w:p>
        </w:tc>
      </w:tr>
      <w:tr>
        <w:trPr>
          <w:trHeight w:hRule="atLeast" w:val="215"/>
        </w:trPr>
        <w:tc>
          <w:tcPr>
            <w:tcW w:w="824" w:type="dxa"/>
            <w:shd w:val="clear" w:color="auto" w:fill="auto"/>
            <w:tcMar>
              <w:top w:w="100" w:type="dxa"/>
              <w:left w:w="100" w:type="dxa"/>
              <w:bottom w:w="100" w:type="dxa"/>
              <w:right w:w="100" w:type="dxa"/>
            </w:tcMar>
          </w:tcPr>
          <w:p>
            <w:pPr>
              <w:rPr>
                <w:highlight w:val="white"/>
              </w:rPr>
            </w:pPr>
          </w:p>
        </w:tc>
        <w:tc>
          <w:tcPr>
            <w:tcW w:w="981"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50"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50"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005"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98"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162"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257"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957"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331"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415"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258"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c>
          <w:tcPr>
            <w:tcW w:w="1271" w:type="dxa"/>
            <w:shd w:val="clear" w:color="auto" w:fill="auto"/>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white"/>
              </w:rPr>
            </w:pPr>
          </w:p>
        </w:tc>
      </w:tr>
    </w:tbl>
    <w:p>
      <w:pPr>
        <w:spacing w:before="120" w:beforeAutospacing="0" w:afterAutospacing="0"/>
        <w:ind w:hanging="571" w:left="1280"/>
        <w:jc w:val="both"/>
        <w:rPr>
          <w:rFonts w:ascii="Times New Roman" w:hAnsi="Times New Roman"/>
          <w:sz w:val="24"/>
          <w:highlight w:val="white"/>
        </w:rPr>
      </w:pPr>
      <w:r>
        <w:rPr>
          <w:rFonts w:ascii="Times New Roman" w:hAnsi="Times New Roman"/>
          <w:sz w:val="24"/>
          <w:highlight w:val="white"/>
        </w:rPr>
        <w:t>1.2. Підрядники, які надають медичні послуги за договором, згідно з цим додатком</w:t>
      </w:r>
    </w:p>
    <w:tbl>
      <w:tblPr>
        <w:tblStyle w:val="T2"/>
        <w:tblW w:w="13964" w:type="dxa"/>
        <w:tblBorders>
          <w:top w:val="none" w:sz="0" w:space="0" w:shadow="0" w:frame="0" w:color="000000"/>
          <w:left w:val="none" w:sz="0" w:space="0" w:shadow="0" w:frame="0" w:color="000000"/>
          <w:bottom w:val="none" w:sz="0" w:space="0" w:shadow="0" w:frame="0" w:color="000000"/>
          <w:right w:val="none" w:sz="0" w:space="0" w:shadow="0" w:frame="0" w:color="000000"/>
          <w:insideH w:val="none" w:sz="0" w:space="0" w:shadow="0" w:frame="0" w:color="000000"/>
          <w:insideV w:val="none" w:sz="0" w:space="0" w:shadow="0" w:frame="0" w:color="000000"/>
        </w:tblBorders>
        <w:tblLayout w:type="fixed"/>
        <w:tblLook w:val="0600"/>
      </w:tblPr>
      <w:tblGrid/>
      <w:tr>
        <w:trPr>
          <w:trHeight w:hRule="atLeast" w:val="935"/>
        </w:trPr>
        <w:tc>
          <w:tcPr>
            <w:tcW w:w="2233" w:type="dxa"/>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Найменування</w:t>
            </w:r>
          </w:p>
          <w:p>
            <w:pPr>
              <w:jc w:val="center"/>
              <w:rPr>
                <w:rFonts w:ascii="Times New Roman" w:hAnsi="Times New Roman"/>
                <w:b w:val="1"/>
                <w:sz w:val="16"/>
                <w:highlight w:val=""/>
              </w:rPr>
            </w:pPr>
            <w:r>
              <w:rPr>
                <w:rFonts w:ascii="Times New Roman" w:hAnsi="Times New Roman"/>
                <w:b w:val="1"/>
                <w:sz w:val="16"/>
                <w:highlight w:val=""/>
              </w:rPr>
              <w:t>підрядника</w:t>
            </w:r>
          </w:p>
        </w:tc>
        <w:tc>
          <w:tcPr>
            <w:tcW w:w="1427" w:type="dxa"/>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ЄДРПОУ</w:t>
            </w:r>
          </w:p>
          <w:p>
            <w:pPr>
              <w:jc w:val="center"/>
              <w:rPr>
                <w:rFonts w:ascii="Times New Roman" w:hAnsi="Times New Roman"/>
                <w:b w:val="1"/>
                <w:sz w:val="16"/>
                <w:highlight w:val=""/>
              </w:rPr>
            </w:pPr>
            <w:r>
              <w:rPr>
                <w:rFonts w:ascii="Times New Roman" w:hAnsi="Times New Roman"/>
                <w:b w:val="1"/>
                <w:sz w:val="16"/>
                <w:highlight w:val=""/>
              </w:rPr>
              <w:t xml:space="preserve"> </w:t>
            </w:r>
          </w:p>
        </w:tc>
        <w:tc>
          <w:tcPr>
            <w:tcW w:w="2219" w:type="dxa"/>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Адреса місця надання медичних послуг</w:t>
            </w:r>
          </w:p>
        </w:tc>
        <w:tc>
          <w:tcPr>
            <w:tcW w:w="1470" w:type="dxa"/>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Вид медичної</w:t>
            </w:r>
          </w:p>
          <w:p>
            <w:pPr>
              <w:jc w:val="center"/>
              <w:rPr>
                <w:rFonts w:ascii="Times New Roman" w:hAnsi="Times New Roman"/>
                <w:b w:val="1"/>
                <w:sz w:val="16"/>
                <w:highlight w:val=""/>
              </w:rPr>
            </w:pPr>
            <w:r>
              <w:rPr>
                <w:rFonts w:ascii="Times New Roman" w:hAnsi="Times New Roman"/>
                <w:b w:val="1"/>
                <w:sz w:val="16"/>
                <w:highlight w:val=""/>
              </w:rPr>
              <w:t>послуги/групи послуг</w:t>
            </w:r>
          </w:p>
        </w:tc>
        <w:tc>
          <w:tcPr>
            <w:tcW w:w="1568" w:type="dxa"/>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Номер договору з підрядником</w:t>
            </w:r>
          </w:p>
        </w:tc>
        <w:tc>
          <w:tcPr>
            <w:tcW w:w="1413" w:type="dxa"/>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Дата укладення договору з підрядником</w:t>
            </w:r>
          </w:p>
        </w:tc>
        <w:tc>
          <w:tcPr>
            <w:tcW w:w="1356" w:type="dxa"/>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Дата початку строку дії договору з підрядником</w:t>
            </w:r>
          </w:p>
        </w:tc>
        <w:tc>
          <w:tcPr>
            <w:tcW w:w="2275" w:type="dxa"/>
            <w:tcBorders>
              <w:top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jc w:val="center"/>
              <w:rPr>
                <w:rFonts w:ascii="Times New Roman" w:hAnsi="Times New Roman"/>
                <w:b w:val="1"/>
                <w:sz w:val="16"/>
                <w:highlight w:val=""/>
              </w:rPr>
            </w:pPr>
            <w:r>
              <w:rPr>
                <w:rFonts w:ascii="Times New Roman" w:hAnsi="Times New Roman"/>
                <w:b w:val="1"/>
                <w:sz w:val="16"/>
                <w:highlight w:val=""/>
              </w:rPr>
              <w:t>Дата закінчення строку дії договору з підрядником</w:t>
            </w:r>
          </w:p>
        </w:tc>
      </w:tr>
      <w:tr>
        <w:trPr>
          <w:trHeight w:hRule="atLeast" w:val="1310"/>
        </w:trPr>
        <w:tc>
          <w:tcPr>
            <w:tcW w:w="2233" w:type="dxa"/>
            <w:tcBorders>
              <w:left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rPr>
                <w:rFonts w:ascii="Times New Roman" w:hAnsi="Times New Roman"/>
                <w:b w:val="1"/>
                <w:sz w:val="16"/>
                <w:highlight w:val=""/>
              </w:rPr>
            </w:pPr>
            <w:r>
              <w:rPr>
                <w:rFonts w:ascii="Times New Roman" w:hAnsi="Times New Roman"/>
                <w:b w:val="1"/>
                <w:sz w:val="16"/>
                <w:highlight w:val=""/>
              </w:rPr>
              <w:t xml:space="preserve"> </w:t>
            </w:r>
          </w:p>
        </w:tc>
        <w:tc>
          <w:tcPr>
            <w:tcW w:w="1427"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rPr>
                <w:rFonts w:ascii="Times New Roman" w:hAnsi="Times New Roman"/>
                <w:b w:val="1"/>
                <w:sz w:val="16"/>
                <w:highlight w:val=""/>
              </w:rPr>
            </w:pPr>
            <w:r>
              <w:rPr>
                <w:rFonts w:ascii="Times New Roman" w:hAnsi="Times New Roman"/>
                <w:b w:val="1"/>
                <w:sz w:val="16"/>
                <w:highlight w:val=""/>
              </w:rPr>
              <w:t xml:space="preserve"> </w:t>
            </w:r>
          </w:p>
        </w:tc>
        <w:tc>
          <w:tcPr>
            <w:tcW w:w="2219"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rPr>
                <w:highlight w:val=""/>
              </w:rPr>
            </w:pPr>
          </w:p>
        </w:tc>
        <w:tc>
          <w:tcPr>
            <w:tcW w:w="1470"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
              </w:rPr>
            </w:pPr>
          </w:p>
        </w:tc>
        <w:tc>
          <w:tcPr>
            <w:tcW w:w="1568"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widowControl w:val="0"/>
              <w:pBdr>
                <w:top w:val="nil" w:sz="0" w:space="0" w:shadow="0" w:frame="0"/>
                <w:left w:val="nil" w:sz="0" w:space="0" w:shadow="0" w:frame="0"/>
                <w:bottom w:val="nil" w:sz="0" w:space="0" w:shadow="0" w:frame="0"/>
                <w:right w:val="nil" w:sz="0" w:space="0" w:shadow="0" w:frame="0"/>
              </w:pBdr>
              <w:rPr>
                <w:highlight w:val=""/>
              </w:rPr>
            </w:pPr>
          </w:p>
        </w:tc>
        <w:tc>
          <w:tcPr>
            <w:tcW w:w="1413"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rPr>
                <w:rFonts w:ascii="Times New Roman" w:hAnsi="Times New Roman"/>
                <w:b w:val="1"/>
                <w:sz w:val="16"/>
                <w:highlight w:val=""/>
              </w:rPr>
            </w:pPr>
            <w:r>
              <w:rPr>
                <w:rFonts w:ascii="Times New Roman" w:hAnsi="Times New Roman"/>
                <w:b w:val="1"/>
                <w:sz w:val="16"/>
                <w:highlight w:val=""/>
              </w:rPr>
              <w:t xml:space="preserve"> </w:t>
            </w:r>
          </w:p>
        </w:tc>
        <w:tc>
          <w:tcPr>
            <w:tcW w:w="1356"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rPr>
                <w:highlight w:val=""/>
              </w:rPr>
            </w:pPr>
          </w:p>
        </w:tc>
        <w:tc>
          <w:tcPr>
            <w:tcW w:w="2275" w:type="dxa"/>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rPr>
                <w:rFonts w:ascii="Times New Roman" w:hAnsi="Times New Roman"/>
                <w:b w:val="1"/>
                <w:sz w:val="16"/>
                <w:highlight w:val=""/>
              </w:rPr>
            </w:pPr>
            <w:r>
              <w:rPr>
                <w:rFonts w:ascii="Times New Roman" w:hAnsi="Times New Roman"/>
                <w:b w:val="1"/>
                <w:sz w:val="16"/>
                <w:highlight w:val=""/>
              </w:rPr>
              <w:t xml:space="preserve"> </w:t>
            </w:r>
          </w:p>
        </w:tc>
      </w:tr>
    </w:tbl>
    <w:p>
      <w:pPr>
        <w:spacing w:before="120" w:beforeAutospacing="0" w:afterAutospacing="0"/>
        <w:jc w:val="both"/>
        <w:rPr>
          <w:rFonts w:ascii="Times New Roman" w:hAnsi="Times New Roman"/>
          <w:sz w:val="24"/>
          <w:highlight w:val="white"/>
        </w:rPr>
      </w:pPr>
      <w:r>
        <w:rPr>
          <w:rFonts w:ascii="Times New Roman" w:hAnsi="Times New Roman"/>
          <w:sz w:val="24"/>
          <w:highlight w:val="white"/>
        </w:rPr>
        <w:t xml:space="preserve"> </w:t>
      </w:r>
    </w:p>
    <w:p>
      <w:pPr>
        <w:spacing w:before="120" w:beforeAutospacing="0" w:afterAutospacing="0"/>
        <w:jc w:val="both"/>
        <w:rPr>
          <w:rFonts w:ascii="Times New Roman" w:hAnsi="Times New Roman"/>
          <w:sz w:val="24"/>
          <w:highlight w:val="white"/>
        </w:rPr>
      </w:pPr>
      <w:r>
        <w:rPr>
          <w:rFonts w:ascii="Times New Roman" w:hAnsi="Times New Roman"/>
          <w:sz w:val="24"/>
          <w:highlight w:val="white"/>
        </w:rPr>
        <w:t xml:space="preserve"> </w:t>
      </w:r>
    </w:p>
    <w:p>
      <w:pPr>
        <w:spacing w:before="120" w:beforeAutospacing="0" w:afterAutospacing="0"/>
        <w:ind w:hanging="651" w:left="1360"/>
        <w:jc w:val="both"/>
        <w:rPr>
          <w:rFonts w:ascii="Times New Roman" w:hAnsi="Times New Roman"/>
          <w:sz w:val="24"/>
          <w:highlight w:val="white"/>
        </w:rPr>
      </w:pPr>
      <w:r>
        <w:rPr>
          <w:rFonts w:ascii="Times New Roman" w:hAnsi="Times New Roman"/>
          <w:sz w:val="24"/>
          <w:highlight w:val="white"/>
        </w:rPr>
        <w:t>2.</w:t>
      </w:r>
      <w:r>
        <w:rPr>
          <w:rFonts w:ascii="Times New Roman" w:hAnsi="Times New Roman"/>
          <w:sz w:val="14"/>
          <w:highlight w:val="white"/>
        </w:rPr>
        <w:t xml:space="preserve">     </w:t>
      </w:r>
      <w:r>
        <w:rPr>
          <w:rFonts w:ascii="Times New Roman" w:hAnsi="Times New Roman"/>
          <w:sz w:val="24"/>
          <w:highlight w:val="white"/>
        </w:rPr>
        <w:t>Запланована вартість медичних послуг становить _____________ гривень, у тому числі ____________________.</w:t>
      </w:r>
    </w:p>
    <w:p>
      <w:pPr>
        <w:spacing w:before="120" w:beforeAutospacing="0" w:afterAutospacing="0"/>
        <w:jc w:val="both"/>
        <w:rPr>
          <w:rFonts w:ascii="Times New Roman" w:hAnsi="Times New Roman"/>
          <w:sz w:val="24"/>
          <w:highlight w:val="white"/>
        </w:rPr>
      </w:pPr>
      <w:r>
        <w:rPr>
          <w:rFonts w:ascii="Times New Roman" w:hAnsi="Times New Roman"/>
          <w:sz w:val="24"/>
          <w:highlight w:val="white"/>
        </w:rPr>
        <w:t>Сторони можуть протягом строку дії договору переглядати заплановану вартість медичних послуг із внесенням відповідних змін до нього.</w:t>
      </w:r>
    </w:p>
    <w:p>
      <w:pPr>
        <w:spacing w:before="120" w:beforeAutospacing="0" w:afterAutospacing="0"/>
        <w:ind w:firstLine="720"/>
        <w:jc w:val="both"/>
        <w:rPr>
          <w:rFonts w:ascii="Times New Roman" w:hAnsi="Times New Roman"/>
          <w:sz w:val="24"/>
        </w:rPr>
      </w:pPr>
      <w:r>
        <w:rPr>
          <w:rFonts w:ascii="Times New Roman" w:hAnsi="Times New Roman"/>
          <w:sz w:val="24"/>
          <w:highlight w:val="white"/>
        </w:rPr>
        <w:t xml:space="preserve">3. Інші істотні умови** </w:t>
      </w:r>
      <w:r>
        <w:rPr>
          <w:rFonts w:ascii="Times New Roman" w:hAnsi="Times New Roman"/>
          <w:sz w:val="24"/>
        </w:rPr>
        <w:t>Із урахуванням пункту 16 Порядку укладення, зміни та припинення договору про медичне обслуговування населення за програмою медичних гарантій, затвердженого постановою Кабінету Міністрів України від 25 квітня 2018 р. № 410, у разі невідповідності:</w:t>
      </w:r>
    </w:p>
    <w:p>
      <w:pPr>
        <w:spacing w:before="120" w:beforeAutospacing="0" w:afterAutospacing="0"/>
        <w:ind w:firstLine="720"/>
        <w:jc w:val="both"/>
        <w:rPr>
          <w:rFonts w:ascii="Times New Roman" w:hAnsi="Times New Roman"/>
          <w:sz w:val="24"/>
        </w:rPr>
      </w:pPr>
      <w:r>
        <w:rPr>
          <w:rFonts w:ascii="Times New Roman" w:hAnsi="Times New Roman"/>
          <w:sz w:val="24"/>
        </w:rPr>
        <w:t>- вимогам</w:t>
      </w:r>
      <w:r>
        <w:rPr>
          <w:rFonts w:ascii="Times New Roman" w:hAnsi="Times New Roman"/>
          <w:sz w:val="24"/>
          <w:lang w:val="ru-RU"/>
        </w:rPr>
        <w:t xml:space="preserve">, </w:t>
      </w:r>
      <w:r>
        <w:rPr>
          <w:rFonts w:ascii="Times New Roman" w:hAnsi="Times New Roman"/>
          <w:sz w:val="24"/>
        </w:rPr>
        <w:t>передбаченим Умовами закупівлі медичних послуг, які будуть надаватись за договором</w:t>
      </w:r>
      <w:r>
        <w:rPr>
          <w:rFonts w:ascii="Times New Roman" w:hAnsi="Times New Roman"/>
          <w:sz w:val="24"/>
          <w:lang w:val="uk-UA"/>
        </w:rPr>
        <w:t xml:space="preserve"> згідно цього додатку</w:t>
      </w:r>
      <w:r>
        <w:rPr>
          <w:rFonts w:ascii="Times New Roman" w:hAnsi="Times New Roman"/>
          <w:sz w:val="24"/>
        </w:rPr>
        <w:t xml:space="preserve">, </w:t>
      </w:r>
      <w:r>
        <w:rPr>
          <w:rFonts w:ascii="Times New Roman" w:hAnsi="Times New Roman"/>
          <w:sz w:val="24"/>
          <w:lang w:val="ru-RU"/>
        </w:rPr>
        <w:t>надавач</w:t>
      </w:r>
      <w:r>
        <w:rPr>
          <w:rFonts w:ascii="Times New Roman" w:hAnsi="Times New Roman"/>
          <w:sz w:val="24"/>
        </w:rPr>
        <w:t xml:space="preserve"> зобов’язується протягом шести місяців із дати початку строку дії Договору, забезпечити </w:t>
      </w:r>
      <w:r>
        <w:rPr>
          <w:rFonts w:ascii="Times New Roman" w:hAnsi="Times New Roman"/>
          <w:sz w:val="24"/>
          <w:lang w:val="ru-RU"/>
        </w:rPr>
        <w:t>в</w:t>
      </w:r>
      <w:r>
        <w:rPr>
          <w:rFonts w:ascii="Times New Roman" w:hAnsi="Times New Roman"/>
          <w:sz w:val="24"/>
          <w:lang w:val="uk-UA"/>
        </w:rPr>
        <w:t>ідповідність таким вимогам</w:t>
      </w:r>
      <w:r>
        <w:rPr>
          <w:rFonts w:ascii="Times New Roman" w:hAnsi="Times New Roman"/>
          <w:sz w:val="24"/>
        </w:rPr>
        <w:t>;</w:t>
      </w:r>
    </w:p>
    <w:p>
      <w:pPr>
        <w:spacing w:before="120" w:beforeAutospacing="0" w:afterAutospacing="0"/>
        <w:ind w:firstLine="720"/>
        <w:jc w:val="both"/>
        <w:rPr>
          <w:rFonts w:ascii="Times New Roman" w:hAnsi="Times New Roman"/>
          <w:sz w:val="24"/>
        </w:rPr>
      </w:pPr>
      <w:r>
        <w:rPr>
          <w:rFonts w:ascii="Times New Roman" w:hAnsi="Times New Roman"/>
          <w:sz w:val="24"/>
        </w:rPr>
        <w:t>- вимогам щодо наявності ліцензії на провадження діяльності з обігу наркотичних речовин та прекурсорів, передбаченими Умовами закупівлі медичних послуг, які будуть надаватись за договором, визначених в цьому Оголошенні, надавач зобов’язується забезпечити наяв</w:t>
      </w:r>
      <w:r>
        <w:rPr>
          <w:rFonts w:ascii="Times New Roman" w:hAnsi="Times New Roman"/>
          <w:sz w:val="24"/>
          <w:lang w:val="uk-UA"/>
        </w:rPr>
        <w:t>ність такої ліцензії із дати початку строку дії договору</w:t>
      </w:r>
      <w:r>
        <w:rPr>
          <w:rFonts w:ascii="Times New Roman" w:hAnsi="Times New Roman"/>
          <w:sz w:val="24"/>
        </w:rPr>
        <w:t>.</w:t>
      </w:r>
    </w:p>
    <w:p>
      <w:pPr>
        <w:spacing w:before="120" w:beforeAutospacing="0" w:afterAutospacing="0"/>
        <w:ind w:firstLine="720"/>
        <w:jc w:val="both"/>
        <w:rPr>
          <w:rFonts w:ascii="Times New Roman" w:hAnsi="Times New Roman"/>
          <w:sz w:val="24"/>
          <w:lang w:val="uk-UA"/>
        </w:rPr>
      </w:pPr>
      <w:r>
        <w:rPr>
          <w:rFonts w:ascii="Times New Roman" w:hAnsi="Times New Roman"/>
          <w:sz w:val="24"/>
          <w:lang w:val="uk-UA"/>
        </w:rPr>
        <w:t xml:space="preserve">Відповідно до пункту 29 Договору, у </w:t>
      </w:r>
      <w:r>
        <w:rPr>
          <w:rFonts w:ascii="Times New Roman" w:hAnsi="Times New Roman"/>
          <w:sz w:val="24"/>
        </w:rPr>
        <w:t>разі коли протягом звітного періоду надавач або його підрядник втрачає право провадити господарську діяльність з медичної практики або із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(якщо ліцензія потрібна для надання відповідних медичних послуг за договором) чи не може надавати медичні послуги з інших підстав, оплата медичних послуг здійснюється тільки за той період, протягом якого надавач або його підрядник мали законне право або можливість їх надавати</w:t>
      </w:r>
      <w:r>
        <w:rPr>
          <w:rFonts w:ascii="Times New Roman" w:hAnsi="Times New Roman"/>
          <w:sz w:val="24"/>
          <w:lang w:val="uk-UA"/>
        </w:rPr>
        <w:t>.</w:t>
      </w:r>
    </w:p>
    <w:p>
      <w:pPr>
        <w:spacing w:before="120" w:beforeAutospacing="0" w:afterAutospacing="0"/>
        <w:ind w:firstLine="720"/>
        <w:rPr>
          <w:rFonts w:ascii="Times New Roman" w:hAnsi="Times New Roman"/>
          <w:sz w:val="24"/>
          <w:highlight w:val="white"/>
        </w:rPr>
      </w:pPr>
      <w:r>
        <w:rPr>
          <w:rFonts w:ascii="Times New Roman" w:hAnsi="Times New Roman"/>
          <w:sz w:val="24"/>
        </w:rPr>
        <w:t>У випадку недотримання цих умов, відповідно до підпункту 1 та 6 пункту 52 договору, Замовник має право відмовитися від договору в односторонньому порядку.</w:t>
        <w:br w:type="textWrapping"/>
      </w:r>
    </w:p>
    <w:p>
      <w:pPr>
        <w:spacing w:before="120" w:beforeAutospacing="0" w:afterAutospacing="0"/>
        <w:ind w:firstLine="720"/>
        <w:rPr>
          <w:rFonts w:ascii="Times New Roman" w:hAnsi="Times New Roman"/>
          <w:sz w:val="24"/>
          <w:highlight w:val="white"/>
        </w:rPr>
      </w:pPr>
      <w:r>
        <w:rPr>
          <w:rFonts w:ascii="Times New Roman" w:hAnsi="Times New Roman"/>
          <w:sz w:val="24"/>
          <w:highlight w:val="white"/>
        </w:rPr>
        <w:t>4. Звітним періодом є один календарний місяць.</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 xml:space="preserve">Надавач подає звіт про медичні послуги до 10 числа наступного звітного періоду. </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У звіті про медичні послуги зазначаються усі послуги за договором, про надання яких станом на 23 годину 59 хвилин останнього дня звітного періоду внесено інформацію до електронної системи охорони здоров’я (далі - система).</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Звіт про медичні послуги за останній звітний період подається до 23 грудня та повинен містити дані про надані послуги, інформація про які внесена до системи станом на 23 годину 59 хвилин 20 грудня. Послуги, надані після 20 грудня, включаються до звіту про медичні послуги за січень наступного року відповідно до умов договору.</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Разом із звітом про медичні послуги надавач подає рахунок, в якому зазначається сума до сплати за звітний період.</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У разі здійснення авансового платежу надавач подає звіт про медичні послуги у строки, встановлені цим пунктом, але не пізніше ніж за два робочих дні до граничного строку для подання замовником підтвердних документів органам Казначейства відповідно до законодавства.</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Разом із звітом про медичні послуги надавач подає рахунок, в якому зазначається сума до сплати за звітний період, крім сплаченої попередньої оплати за такі послуги. У разі здійснення авансового платежу у рахунку також зазначається сума авансу на наступний звітний період.</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5. Гранична сума оплати за медичні послуги за відповідний місяць становить***</w:t>
      </w:r>
    </w:p>
    <w:p>
      <w:pPr>
        <w:spacing w:before="120" w:beforeAutospacing="0" w:afterAutospacing="0"/>
        <w:ind w:firstLine="720"/>
        <w:jc w:val="both"/>
        <w:rPr>
          <w:rFonts w:ascii="Times New Roman" w:hAnsi="Times New Roman"/>
          <w:sz w:val="24"/>
          <w:highlight w:val="white"/>
        </w:rPr>
      </w:pPr>
    </w:p>
    <w:p>
      <w:pPr>
        <w:spacing w:before="120" w:beforeAutospacing="0" w:afterAutospacing="0"/>
        <w:ind w:firstLine="720"/>
        <w:jc w:val="both"/>
        <w:rPr>
          <w:rFonts w:ascii="Times New Roman" w:hAnsi="Times New Roman"/>
          <w:sz w:val="24"/>
          <w:highlight w:val="white"/>
        </w:rPr>
      </w:pPr>
    </w:p>
    <w:tbl>
      <w:tblPr>
        <w:tblStyle w:val="T2"/>
        <w:tblW w:w="13965" w:type="dxa"/>
        <w:tblBorders>
          <w:top w:val="none" w:sz="0" w:space="0" w:shadow="0" w:frame="0" w:color="000000"/>
          <w:left w:val="none" w:sz="0" w:space="0" w:shadow="0" w:frame="0" w:color="000000"/>
          <w:bottom w:val="none" w:sz="0" w:space="0" w:shadow="0" w:frame="0" w:color="000000"/>
          <w:right w:val="none" w:sz="0" w:space="0" w:shadow="0" w:frame="0" w:color="000000"/>
          <w:insideH w:val="none" w:sz="0" w:space="0" w:shadow="0" w:frame="0" w:color="000000"/>
          <w:insideV w:val="none" w:sz="0" w:space="0" w:shadow="0" w:frame="0" w:color="000000"/>
        </w:tblBorders>
        <w:tblLayout w:type="fixed"/>
        <w:tblLook w:val="0600"/>
      </w:tblPr>
      <w:tblGrid/>
      <w:tr>
        <w:trPr>
          <w:trHeight w:hRule="atLeast" w:val="500"/>
        </w:trPr>
        <w:tc>
          <w:tcPr>
            <w:tcW w:w="13756" w:type="dxa"/>
            <w:gridSpan w:val="7"/>
            <w:tcBorders>
              <w:top w:val="single" w:sz="8" w:space="0" w:shadow="0" w:frame="0" w:color="000000"/>
              <w:left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highlight w:val=""/>
              </w:rPr>
            </w:pPr>
            <w:r>
              <w:rPr>
                <w:rFonts w:ascii="Times New Roman" w:hAnsi="Times New Roman"/>
                <w:b w:val="1"/>
                <w:sz w:val="16"/>
                <w:highlight w:val=""/>
              </w:rPr>
              <w:t>Критерії, за якими встановлено граничну суму оплати</w:t>
            </w: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890"/>
        </w:trPr>
        <w:tc>
          <w:tcPr>
            <w:tcW w:w="1297" w:type="dxa"/>
            <w:vMerge w:val="restart"/>
            <w:tcBorders>
              <w:left w:val="single" w:sz="8" w:space="0" w:shadow="0" w:frame="0" w:color="000000"/>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highlight w:val=""/>
              </w:rPr>
            </w:pPr>
            <w:r>
              <w:rPr>
                <w:rFonts w:ascii="Times New Roman" w:hAnsi="Times New Roman"/>
                <w:b w:val="1"/>
                <w:sz w:val="16"/>
                <w:highlight w:val=""/>
              </w:rPr>
              <w:t>Період ,</w:t>
            </w:r>
          </w:p>
          <w:p>
            <w:pPr>
              <w:ind w:left="120"/>
              <w:jc w:val="center"/>
              <w:rPr>
                <w:rFonts w:ascii="Times New Roman" w:hAnsi="Times New Roman"/>
                <w:b w:val="1"/>
                <w:sz w:val="16"/>
                <w:highlight w:val=""/>
              </w:rPr>
            </w:pPr>
            <w:r>
              <w:rPr>
                <w:rFonts w:ascii="Times New Roman" w:hAnsi="Times New Roman"/>
                <w:b w:val="1"/>
                <w:sz w:val="16"/>
                <w:highlight w:val=""/>
              </w:rPr>
              <w:t>місяць</w:t>
            </w:r>
          </w:p>
        </w:tc>
        <w:tc>
          <w:tcPr>
            <w:tcW w:w="1668" w:type="dxa"/>
            <w:vMerge w:val="restart"/>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highlight w:val=""/>
              </w:rPr>
            </w:pPr>
            <w:r>
              <w:rPr>
                <w:rFonts w:ascii="Times New Roman" w:hAnsi="Times New Roman"/>
                <w:b w:val="1"/>
                <w:sz w:val="16"/>
                <w:highlight w:val=""/>
              </w:rPr>
              <w:t>Запланована кількість медичних послуг</w:t>
            </w:r>
          </w:p>
        </w:tc>
        <w:tc>
          <w:tcPr>
            <w:tcW w:w="1967" w:type="dxa"/>
            <w:vMerge w:val="restart"/>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highlight w:val=""/>
              </w:rPr>
            </w:pPr>
            <w:r>
              <w:rPr>
                <w:rFonts w:ascii="Times New Roman" w:hAnsi="Times New Roman"/>
                <w:b w:val="1"/>
                <w:sz w:val="16"/>
                <w:highlight w:val=""/>
              </w:rPr>
              <w:t>Глобальний бюджет, грн</w:t>
            </w:r>
          </w:p>
        </w:tc>
        <w:tc>
          <w:tcPr>
            <w:tcW w:w="2324" w:type="dxa"/>
            <w:vMerge w:val="restart"/>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highlight w:val=""/>
              </w:rPr>
            </w:pPr>
            <w:r>
              <w:rPr>
                <w:rFonts w:ascii="Times New Roman" w:hAnsi="Times New Roman"/>
                <w:b w:val="1"/>
                <w:sz w:val="16"/>
                <w:highlight w:val=""/>
              </w:rPr>
              <w:t>Коригувальні коефіцієнти</w:t>
            </w:r>
          </w:p>
        </w:tc>
        <w:tc>
          <w:tcPr>
            <w:tcW w:w="1910" w:type="dxa"/>
            <w:vMerge w:val="restart"/>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highlight w:val=""/>
              </w:rPr>
            </w:pPr>
            <w:r>
              <w:rPr>
                <w:rFonts w:ascii="Times New Roman" w:hAnsi="Times New Roman"/>
                <w:b w:val="1"/>
                <w:sz w:val="16"/>
                <w:highlight w:val=""/>
              </w:rPr>
              <w:t>Значення коефіцієнтів</w:t>
            </w:r>
          </w:p>
        </w:tc>
        <w:tc>
          <w:tcPr>
            <w:tcW w:w="2081" w:type="dxa"/>
            <w:vMerge w:val="restart"/>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highlight w:val=""/>
              </w:rPr>
            </w:pPr>
            <w:r>
              <w:rPr>
                <w:rFonts w:ascii="Times New Roman" w:hAnsi="Times New Roman"/>
                <w:b w:val="1"/>
                <w:sz w:val="16"/>
                <w:highlight w:val=""/>
              </w:rPr>
              <w:t>Бюджет оплати за випадок/послугу, грн</w:t>
            </w:r>
          </w:p>
        </w:tc>
        <w:tc>
          <w:tcPr>
            <w:tcW w:w="2509" w:type="dxa"/>
            <w:vMerge w:val="restart"/>
            <w:tcBorders>
              <w:bottom w:val="single" w:sz="8" w:space="0" w:shadow="0" w:frame="0" w:color="000000"/>
              <w:right w:val="single" w:sz="8" w:space="0" w:shadow="0" w:frame="0" w:color="000000"/>
            </w:tcBorders>
            <w:shd w:val="clear" w:color="auto" w:fill="FFFFFF"/>
            <w:tcMar>
              <w:top w:w="100" w:type="dxa"/>
              <w:left w:w="100" w:type="dxa"/>
              <w:bottom w:w="100" w:type="dxa"/>
              <w:right w:w="100" w:type="dxa"/>
            </w:tcMar>
          </w:tcPr>
          <w:p>
            <w:pPr>
              <w:ind w:left="120"/>
              <w:jc w:val="center"/>
              <w:rPr>
                <w:rFonts w:ascii="Times New Roman" w:hAnsi="Times New Roman"/>
                <w:b w:val="1"/>
                <w:sz w:val="16"/>
                <w:highlight w:val=""/>
              </w:rPr>
            </w:pPr>
            <w:r>
              <w:rPr>
                <w:rFonts w:ascii="Times New Roman" w:hAnsi="Times New Roman"/>
                <w:b w:val="1"/>
                <w:sz w:val="16"/>
                <w:highlight w:val=""/>
              </w:rPr>
              <w:t>Гранична сума оплати, грн</w:t>
            </w: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890"/>
        </w:trPr>
        <w:tc>
          <w:tcPr>
            <w:tcW w:w="1297"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rPr>
                <w:highlight w:val="white"/>
              </w:rPr>
            </w:pPr>
          </w:p>
        </w:tc>
        <w:tc>
          <w:tcPr>
            <w:tcW w:w="1668"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rPr>
                <w:highlight w:val="white"/>
              </w:rPr>
            </w:pPr>
          </w:p>
        </w:tc>
        <w:tc>
          <w:tcPr>
            <w:tcW w:w="1967"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rPr>
                <w:highlight w:val="white"/>
              </w:rPr>
            </w:pPr>
          </w:p>
        </w:tc>
        <w:tc>
          <w:tcPr>
            <w:tcW w:w="2324"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rPr>
                <w:highlight w:val="white"/>
              </w:rPr>
            </w:pPr>
          </w:p>
        </w:tc>
        <w:tc>
          <w:tcPr>
            <w:tcW w:w="1910"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rPr>
                <w:highlight w:val="white"/>
              </w:rPr>
            </w:pPr>
          </w:p>
        </w:tc>
        <w:tc>
          <w:tcPr>
            <w:tcW w:w="2081"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rPr>
                <w:highlight w:val="white"/>
              </w:rPr>
            </w:pPr>
          </w:p>
        </w:tc>
        <w:tc>
          <w:tcPr>
            <w:tcW w:w="2509" w:type="dxa"/>
            <w:vMerge w:val="continue"/>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rPr>
                <w:highlight w:val="white"/>
              </w:rPr>
            </w:pP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500"/>
        </w:trPr>
        <w:tc>
          <w:tcPr>
            <w:tcW w:w="1297" w:type="dxa"/>
            <w:tcBorders>
              <w:left w:val="single" w:sz="8" w:space="0" w:shadow="0" w:frame="0" w:color="000000"/>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b w:val="1"/>
                <w:sz w:val="16"/>
                <w:highlight w:val="white"/>
              </w:rPr>
            </w:pPr>
            <w:r>
              <w:rPr>
                <w:rFonts w:ascii="Times New Roman" w:hAnsi="Times New Roman"/>
                <w:b w:val="1"/>
                <w:sz w:val="16"/>
                <w:highlight w:val="white"/>
              </w:rPr>
              <w:t>Липень</w:t>
            </w:r>
          </w:p>
        </w:tc>
        <w:tc>
          <w:tcPr>
            <w:tcW w:w="166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67"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324"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1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8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509"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500"/>
        </w:trPr>
        <w:tc>
          <w:tcPr>
            <w:tcW w:w="1297" w:type="dxa"/>
            <w:tcBorders>
              <w:left w:val="single" w:sz="8" w:space="0" w:shadow="0" w:frame="0" w:color="000000"/>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b w:val="1"/>
                <w:sz w:val="16"/>
                <w:highlight w:val="white"/>
              </w:rPr>
            </w:pPr>
            <w:r>
              <w:rPr>
                <w:rFonts w:ascii="Times New Roman" w:hAnsi="Times New Roman"/>
                <w:b w:val="1"/>
                <w:sz w:val="16"/>
                <w:highlight w:val="white"/>
              </w:rPr>
              <w:t>Серпень</w:t>
            </w:r>
          </w:p>
        </w:tc>
        <w:tc>
          <w:tcPr>
            <w:tcW w:w="166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67"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324"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1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8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509"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500"/>
        </w:trPr>
        <w:tc>
          <w:tcPr>
            <w:tcW w:w="1297" w:type="dxa"/>
            <w:tcBorders>
              <w:left w:val="single" w:sz="8" w:space="0" w:shadow="0" w:frame="0" w:color="000000"/>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b w:val="1"/>
                <w:sz w:val="16"/>
                <w:highlight w:val="white"/>
              </w:rPr>
            </w:pPr>
            <w:r>
              <w:rPr>
                <w:rFonts w:ascii="Times New Roman" w:hAnsi="Times New Roman"/>
                <w:b w:val="1"/>
                <w:sz w:val="16"/>
                <w:highlight w:val="white"/>
              </w:rPr>
              <w:t>Вересень</w:t>
            </w:r>
          </w:p>
        </w:tc>
        <w:tc>
          <w:tcPr>
            <w:tcW w:w="166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67"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324"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1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8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509"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500"/>
        </w:trPr>
        <w:tc>
          <w:tcPr>
            <w:tcW w:w="1297" w:type="dxa"/>
            <w:tcBorders>
              <w:left w:val="single" w:sz="8" w:space="0" w:shadow="0" w:frame="0" w:color="000000"/>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b w:val="1"/>
                <w:sz w:val="16"/>
                <w:highlight w:val="white"/>
              </w:rPr>
            </w:pPr>
            <w:r>
              <w:rPr>
                <w:rFonts w:ascii="Times New Roman" w:hAnsi="Times New Roman"/>
                <w:b w:val="1"/>
                <w:sz w:val="16"/>
                <w:highlight w:val="white"/>
              </w:rPr>
              <w:t>Жовтень</w:t>
            </w:r>
          </w:p>
        </w:tc>
        <w:tc>
          <w:tcPr>
            <w:tcW w:w="166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67"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324"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1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8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509"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500"/>
        </w:trPr>
        <w:tc>
          <w:tcPr>
            <w:tcW w:w="1297" w:type="dxa"/>
            <w:tcBorders>
              <w:left w:val="single" w:sz="8" w:space="0" w:shadow="0" w:frame="0" w:color="000000"/>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b w:val="1"/>
                <w:sz w:val="16"/>
                <w:highlight w:val="white"/>
              </w:rPr>
            </w:pPr>
            <w:r>
              <w:rPr>
                <w:rFonts w:ascii="Times New Roman" w:hAnsi="Times New Roman"/>
                <w:b w:val="1"/>
                <w:sz w:val="16"/>
                <w:highlight w:val="white"/>
              </w:rPr>
              <w:t>Листопад</w:t>
            </w:r>
          </w:p>
        </w:tc>
        <w:tc>
          <w:tcPr>
            <w:tcW w:w="166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67"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324"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1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8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509"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4" w:type="dxa"/>
            <w:shd w:val="clear" w:color="auto" w:fill="auto"/>
            <w:tcMar>
              <w:top w:w="100" w:type="dxa"/>
              <w:left w:w="100" w:type="dxa"/>
              <w:bottom w:w="100" w:type="dxa"/>
              <w:right w:w="100" w:type="dxa"/>
            </w:tcMar>
          </w:tcPr>
          <w:p>
            <w:pPr>
              <w:ind w:left="120"/>
              <w:rPr>
                <w:highlight w:val="white"/>
              </w:rPr>
            </w:pPr>
          </w:p>
        </w:tc>
      </w:tr>
      <w:tr>
        <w:trPr>
          <w:trHeight w:hRule="atLeast" w:val="500"/>
        </w:trPr>
        <w:tc>
          <w:tcPr>
            <w:tcW w:w="1297" w:type="dxa"/>
            <w:tcBorders>
              <w:left w:val="single" w:sz="8" w:space="0" w:shadow="0" w:frame="0" w:color="000000"/>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b w:val="1"/>
                <w:sz w:val="16"/>
                <w:highlight w:val="white"/>
              </w:rPr>
            </w:pPr>
            <w:r>
              <w:rPr>
                <w:rFonts w:ascii="Times New Roman" w:hAnsi="Times New Roman"/>
                <w:b w:val="1"/>
                <w:sz w:val="16"/>
                <w:highlight w:val="white"/>
              </w:rPr>
              <w:t>Грудень</w:t>
            </w:r>
          </w:p>
        </w:tc>
        <w:tc>
          <w:tcPr>
            <w:tcW w:w="1668"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67"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324"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1910"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81"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509" w:type="dxa"/>
            <w:tcBorders>
              <w:bottom w:val="single" w:sz="8" w:space="0" w:shadow="0" w:frame="0" w:color="000000"/>
              <w:right w:val="single" w:sz="8" w:space="0" w:shadow="0" w:frame="0" w:color="000000"/>
            </w:tcBorders>
            <w:shd w:val="clear" w:color="auto" w:fill="auto"/>
            <w:tcMar>
              <w:top w:w="100" w:type="dxa"/>
              <w:left w:w="100" w:type="dxa"/>
              <w:bottom w:w="100" w:type="dxa"/>
              <w:right w:w="100" w:type="dxa"/>
            </w:tcMar>
          </w:tcPr>
          <w:p>
            <w:pPr>
              <w:ind w:left="120"/>
              <w:jc w:val="center"/>
              <w:rPr>
                <w:rFonts w:ascii="Times New Roman" w:hAnsi="Times New Roman"/>
                <w:sz w:val="16"/>
                <w:highlight w:val="white"/>
              </w:rPr>
            </w:pPr>
            <w:r>
              <w:rPr>
                <w:rFonts w:ascii="Times New Roman" w:hAnsi="Times New Roman"/>
                <w:sz w:val="16"/>
                <w:highlight w:val="white"/>
              </w:rPr>
              <w:t xml:space="preserve"> </w:t>
            </w:r>
          </w:p>
        </w:tc>
        <w:tc>
          <w:tcPr>
            <w:tcW w:w="204" w:type="dxa"/>
            <w:shd w:val="clear" w:color="auto" w:fill="auto"/>
            <w:tcMar>
              <w:top w:w="100" w:type="dxa"/>
              <w:left w:w="100" w:type="dxa"/>
              <w:bottom w:w="100" w:type="dxa"/>
              <w:right w:w="100" w:type="dxa"/>
            </w:tcMar>
          </w:tcPr>
          <w:p>
            <w:pPr>
              <w:ind w:left="120"/>
              <w:rPr>
                <w:highlight w:val="white"/>
              </w:rPr>
            </w:pPr>
          </w:p>
        </w:tc>
      </w:tr>
    </w:tbl>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У разі коли протягом трьох місяців підряд ціна наданих медичних послуг вища або нижча, ніж запланована вартість медичних послуг за відповідний квартал, на вимогу замовника сторони повинні підписати договір про внесення змін до договору, в якому визначити скориговані заплановану вартість послуг та у разі потреби граничні суми оплати на наступні місяці. У разі ухилення надавача від підписання договору про внесення змін до договору стосовно коригування ціни договору замовник має право зупинити оплату послуг за договором.</w:t>
      </w:r>
    </w:p>
    <w:p>
      <w:pPr>
        <w:spacing w:before="120" w:beforeAutospacing="0" w:afterAutospacing="0"/>
        <w:ind w:hanging="11" w:left="720"/>
        <w:jc w:val="both"/>
        <w:rPr>
          <w:rFonts w:ascii="Times New Roman" w:hAnsi="Times New Roman"/>
          <w:sz w:val="24"/>
          <w:highlight w:val="white"/>
        </w:rPr>
      </w:pPr>
      <w:r>
        <w:rPr>
          <w:rFonts w:ascii="Times New Roman" w:hAnsi="Times New Roman"/>
          <w:sz w:val="24"/>
          <w:highlight w:val="white"/>
        </w:rPr>
        <w:t>6. Надавач зобов’язується:</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1) під час надання медичних послуг дотримуватися відповідних порядків надання медичної допомоги та галузевих стандартів у сфері охорони здоров’я, примірних табелів матеріально-технічного оснащення, в тому числі клінічних протоколів;</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2) надавати медичні послуги в обсязі не меншому, ніж визначено в специфікації;</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3) інші обов’язки: своєчасно вносити до системи медичну документацію про медичне обслуговування пацієнтів.</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7. Тарифи та коригувальні коефіцієнти визначаються відповідно до законодавства.</w:t>
      </w:r>
    </w:p>
    <w:p>
      <w:pPr>
        <w:spacing w:before="120" w:beforeAutospacing="0" w:afterAutospacing="0"/>
        <w:ind w:firstLine="720"/>
        <w:jc w:val="both"/>
        <w:rPr>
          <w:rFonts w:ascii="Times New Roman" w:hAnsi="Times New Roman"/>
          <w:sz w:val="24"/>
          <w:highlight w:val="white"/>
        </w:rPr>
      </w:pPr>
      <w:r>
        <w:rPr>
          <w:rFonts w:ascii="Times New Roman" w:hAnsi="Times New Roman"/>
          <w:sz w:val="24"/>
          <w:highlight w:val="white"/>
        </w:rPr>
        <w:t>8. Інші умови</w:t>
      </w:r>
    </w:p>
    <w:p>
      <w:pPr>
        <w:spacing w:before="120" w:beforeAutospacing="0" w:afterAutospacing="0"/>
        <w:ind w:firstLine="708"/>
        <w:jc w:val="both"/>
        <w:rPr>
          <w:rFonts w:ascii="Times New Roman" w:hAnsi="Times New Roman"/>
          <w:sz w:val="24"/>
          <w:highlight w:val="white"/>
        </w:rPr>
      </w:pPr>
      <w:r>
        <w:rPr>
          <w:rFonts w:ascii="Times New Roman" w:hAnsi="Times New Roman"/>
          <w:sz w:val="24"/>
          <w:highlight w:val="white"/>
        </w:rPr>
        <w:t>8.1 – Умови закупівлі медичних послуг, які надаються згідно з цим додатком</w:t>
      </w:r>
    </w:p>
    <w:p>
      <w:pPr>
        <w:spacing w:before="120" w:beforeAutospacing="0" w:afterAutospacing="0"/>
        <w:ind w:firstLine="708"/>
        <w:jc w:val="both"/>
        <w:rPr>
          <w:rFonts w:ascii="Times New Roman" w:hAnsi="Times New Roman"/>
          <w:sz w:val="24"/>
          <w:highlight w:val="white"/>
        </w:rPr>
      </w:pPr>
    </w:p>
    <w:p>
      <w:pPr>
        <w:spacing w:before="120" w:beforeAutospacing="0" w:afterAutospacing="0"/>
        <w:ind w:firstLine="708"/>
        <w:jc w:val="both"/>
        <w:rPr>
          <w:rFonts w:ascii="Times New Roman" w:hAnsi="Times New Roman"/>
          <w:sz w:val="24"/>
          <w:highlight w:val="white"/>
        </w:rPr>
      </w:pPr>
      <w:r>
        <w:rPr>
          <w:rFonts w:ascii="Times New Roman" w:hAnsi="Times New Roman"/>
          <w:sz w:val="24"/>
          <w:highlight w:val="white"/>
        </w:rPr>
        <w:t>8.2 – Специфікація медичних послуг, які надаються згідно з цим додатком</w:t>
      </w:r>
    </w:p>
    <w:p>
      <w:pPr>
        <w:spacing w:before="120" w:beforeAutospacing="0" w:afterAutospacing="0"/>
        <w:ind w:firstLine="708"/>
        <w:jc w:val="both"/>
        <w:rPr>
          <w:rFonts w:ascii="Times New Roman" w:hAnsi="Times New Roman"/>
          <w:sz w:val="24"/>
          <w:highlight w:val="white"/>
        </w:rPr>
      </w:pPr>
      <w:r>
        <w:rPr>
          <w:rFonts w:ascii="Times New Roman" w:hAnsi="Times New Roman"/>
          <w:sz w:val="24"/>
          <w:highlight w:val="white"/>
        </w:rPr>
        <w:t xml:space="preserve"> </w:t>
      </w:r>
    </w:p>
    <w:p>
      <w:pPr>
        <w:spacing w:before="120" w:beforeAutospacing="0" w:afterAutospacing="0"/>
        <w:jc w:val="both"/>
        <w:rPr>
          <w:rFonts w:ascii="Times New Roman" w:hAnsi="Times New Roman"/>
          <w:sz w:val="24"/>
          <w:highlight w:val="white"/>
        </w:rPr>
      </w:pPr>
      <w:r>
        <w:rPr>
          <w:rFonts w:ascii="Times New Roman" w:hAnsi="Times New Roman"/>
          <w:sz w:val="24"/>
          <w:highlight w:val="white"/>
        </w:rPr>
        <w:t xml:space="preserve"> ___________________________________________________________.</w:t>
      </w:r>
    </w:p>
    <w:p>
      <w:pPr>
        <w:ind w:firstLine="720"/>
        <w:jc w:val="both"/>
        <w:rPr>
          <w:rFonts w:ascii="Times New Roman" w:hAnsi="Times New Roman"/>
          <w:sz w:val="20"/>
          <w:highlight w:val="white"/>
        </w:rPr>
      </w:pPr>
      <w:r>
        <w:rPr>
          <w:rFonts w:ascii="Times New Roman" w:hAnsi="Times New Roman"/>
          <w:sz w:val="20"/>
          <w:highlight w:val="white"/>
        </w:rPr>
        <w:t>** Залежно від виду послуг можуть зазначатися, зокрема, такі показники, як територія обслуговування, запланований середній індекс структури випадків, наявне населення.</w:t>
      </w:r>
    </w:p>
    <w:p>
      <w:pPr>
        <w:ind w:firstLine="720"/>
        <w:jc w:val="both"/>
        <w:rPr>
          <w:rFonts w:ascii="Times New Roman" w:hAnsi="Times New Roman"/>
          <w:sz w:val="20"/>
          <w:highlight w:val="white"/>
        </w:rPr>
      </w:pPr>
      <w:r>
        <w:rPr>
          <w:rFonts w:ascii="Times New Roman" w:hAnsi="Times New Roman"/>
          <w:sz w:val="20"/>
          <w:highlight w:val="white"/>
        </w:rPr>
        <w:t>*** Заповнюється у разі потреби, якщо оплата здійснюється нерівними частинами протягом строку дії договору. Критеріями для встановлення граничної суми оплати можуть бути усі або окремі послуги, або окремі групи послуг із зазначенням інформації про те, чи встановлена гранична сума оплати для надавача загалом або окремого місця надання медичних послуг.</w:t>
      </w:r>
    </w:p>
    <w:p>
      <w:pPr>
        <w:jc w:val="both"/>
        <w:rPr>
          <w:rFonts w:ascii="Times New Roman" w:hAnsi="Times New Roman"/>
          <w:sz w:val="20"/>
          <w:highlight w:val="white"/>
        </w:rPr>
      </w:pPr>
      <w:r>
        <w:rPr>
          <w:rFonts w:ascii="Times New Roman" w:hAnsi="Times New Roman"/>
          <w:sz w:val="20"/>
          <w:highlight w:val="white"/>
        </w:rPr>
        <w:t xml:space="preserve"> </w:t>
      </w:r>
    </w:p>
    <w:p>
      <w:pPr>
        <w:jc w:val="both"/>
        <w:rPr>
          <w:rFonts w:ascii="Times New Roman" w:hAnsi="Times New Roman"/>
          <w:b w:val="1"/>
          <w:sz w:val="28"/>
          <w:highlight w:val="white"/>
        </w:rPr>
      </w:pPr>
      <w:r>
        <w:rPr>
          <w:rFonts w:ascii="Times New Roman" w:hAnsi="Times New Roman"/>
          <w:b w:val="1"/>
          <w:sz w:val="28"/>
          <w:highlight w:val="white"/>
        </w:rPr>
        <w:t xml:space="preserve"> </w:t>
      </w:r>
    </w:p>
    <w:p>
      <w:pPr>
        <w:rPr>
          <w:highlight w:val="white"/>
        </w:rPr>
      </w:pPr>
    </w:p>
    <w:sectPr>
      <w:type w:val="nextPage"/>
      <w:pgSz w:w="16838" w:h="11906" w:code="0"/>
      <w:pgMar w:left="1440" w:right="1440" w:top="1440" w:bottom="1440" w:header="720" w:footer="720" w:gutter="0"/>
      <w:pgNumType w:start="1" w:chapSep="period"/>
      <w:cols w:equalWidth="1" w:space="72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Arial" w:hAnsi="Arial"/>
        <w:b w:val="0"/>
        <w:i w:val="0"/>
        <w:caps w:val="0"/>
        <w:strike w:val="0"/>
        <w:noProof w:val="0"/>
        <w:vanish w:val="0"/>
        <w:color w:val="auto"/>
        <w:sz w:val="22"/>
        <w:u w:val="none"/>
        <w:shd w:val="clear" w:color="auto" w:fill="auto"/>
        <w:vertAlign w:val="baseline"/>
        <w:lang w:val="uk" w:bidi="ar-SA" w:eastAsia="ru-RU"/>
      </w:rPr>
    </w:rPrDefault>
    <w:pPrDefault>
      <w:pPr>
        <w:keepNext w:val="0"/>
        <w:keepLines w:val="0"/>
        <w:widowControl w:val="1"/>
        <w:suppressLineNumbers w:val="0"/>
        <w:shd w:val="clear" w:fill="auto"/>
        <w:suppressAutoHyphens w:val="0"/>
        <w:spacing w:lineRule="auto" w:line="276" w:before="0" w:after="0" w:beforeAutospacing="0" w:afterAutospacing="0"/>
        <w:ind w:firstLine="0" w:left="0" w:right="0"/>
        <w:contextualSpacing w:val="0"/>
        <w:jc w:val="left"/>
      </w:pPr>
    </w:pPrDefault>
  </w:docDefaults>
  <w:style w:type="paragraph" w:styleId="P0" w:default="1">
    <w:name w:val="Normal"/>
    <w:qFormat/>
    <w:pPr/>
    <w:rPr/>
  </w:style>
  <w:style w:type="paragraph" w:styleId="P1">
    <w:name w:val="heading 1"/>
    <w:basedOn w:val="P0"/>
    <w:next w:val="P0"/>
    <w:qFormat/>
    <w:pPr>
      <w:keepNext w:val="1"/>
      <w:keepLines w:val="1"/>
      <w:spacing w:before="400" w:after="120" w:beforeAutospacing="0" w:afterAutospacing="0"/>
      <w:outlineLvl w:val="0"/>
    </w:pPr>
    <w:rPr>
      <w:sz w:val="40"/>
    </w:rPr>
  </w:style>
  <w:style w:type="paragraph" w:styleId="P2">
    <w:name w:val="heading 2"/>
    <w:basedOn w:val="P0"/>
    <w:next w:val="P0"/>
    <w:semiHidden/>
    <w:qFormat/>
    <w:pPr>
      <w:keepNext w:val="1"/>
      <w:keepLines w:val="1"/>
      <w:spacing w:before="360" w:after="120" w:beforeAutospacing="0" w:afterAutospacing="0"/>
      <w:outlineLvl w:val="1"/>
    </w:pPr>
    <w:rPr>
      <w:sz w:val="32"/>
    </w:rPr>
  </w:style>
  <w:style w:type="paragraph" w:styleId="P3">
    <w:name w:val="heading 3"/>
    <w:basedOn w:val="P0"/>
    <w:next w:val="P0"/>
    <w:semiHidden/>
    <w:qFormat/>
    <w:pPr>
      <w:keepNext w:val="1"/>
      <w:keepLines w:val="1"/>
      <w:spacing w:before="320" w:after="80" w:beforeAutospacing="0" w:afterAutospacing="0"/>
      <w:outlineLvl w:val="2"/>
    </w:pPr>
    <w:rPr>
      <w:color w:val="434343"/>
      <w:sz w:val="28"/>
    </w:rPr>
  </w:style>
  <w:style w:type="paragraph" w:styleId="P4">
    <w:name w:val="heading 4"/>
    <w:basedOn w:val="P0"/>
    <w:next w:val="P0"/>
    <w:semiHidden/>
    <w:qFormat/>
    <w:pPr>
      <w:keepNext w:val="1"/>
      <w:keepLines w:val="1"/>
      <w:spacing w:before="280" w:after="80" w:beforeAutospacing="0" w:afterAutospacing="0"/>
      <w:outlineLvl w:val="3"/>
    </w:pPr>
    <w:rPr>
      <w:color w:val="666666"/>
      <w:sz w:val="24"/>
    </w:rPr>
  </w:style>
  <w:style w:type="paragraph" w:styleId="P5">
    <w:name w:val="heading 5"/>
    <w:basedOn w:val="P0"/>
    <w:next w:val="P0"/>
    <w:semiHidden/>
    <w:qFormat/>
    <w:pPr>
      <w:keepNext w:val="1"/>
      <w:keepLines w:val="1"/>
      <w:spacing w:before="240" w:after="80" w:beforeAutospacing="0" w:afterAutospacing="0"/>
      <w:outlineLvl w:val="4"/>
    </w:pPr>
    <w:rPr>
      <w:color w:val="666666"/>
    </w:rPr>
  </w:style>
  <w:style w:type="paragraph" w:styleId="P6">
    <w:name w:val="heading 6"/>
    <w:basedOn w:val="P0"/>
    <w:next w:val="P0"/>
    <w:semiHidden/>
    <w:qFormat/>
    <w:pPr>
      <w:keepNext w:val="1"/>
      <w:keepLines w:val="1"/>
      <w:spacing w:before="240" w:after="80" w:beforeAutospacing="0" w:afterAutospacing="0"/>
      <w:outlineLvl w:val="5"/>
    </w:pPr>
    <w:rPr>
      <w:i w:val="1"/>
      <w:color w:val="666666"/>
    </w:rPr>
  </w:style>
  <w:style w:type="paragraph" w:styleId="P7">
    <w:name w:val="Title"/>
    <w:basedOn w:val="P0"/>
    <w:next w:val="P0"/>
    <w:qFormat/>
    <w:pPr>
      <w:keepNext w:val="1"/>
      <w:keepLines w:val="1"/>
      <w:spacing w:after="60" w:beforeAutospacing="0" w:afterAutospacing="0"/>
    </w:pPr>
    <w:rPr>
      <w:sz w:val="52"/>
    </w:rPr>
  </w:style>
  <w:style w:type="paragraph" w:styleId="P8">
    <w:name w:val="Subtitle"/>
    <w:basedOn w:val="P0"/>
    <w:next w:val="P0"/>
    <w:qFormat/>
    <w:pPr>
      <w:keepNext w:val="1"/>
      <w:keepLines w:val="1"/>
      <w:spacing w:after="320" w:beforeAutospacing="0" w:afterAutospacing="0"/>
    </w:pPr>
    <w:rPr>
      <w:color w:val="666666"/>
      <w:sz w:val="3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
    <w:basedOn w:val="T0"/>
    <w:tblPr>
      <w:tblStyleRowBandSize w:val="1"/>
      <w:tblStyleColBandSize w:val="1"/>
      <w:tblCellMar>
        <w:top w:w="100" w:type="dxa"/>
        <w:left w:w="100" w:type="dxa"/>
        <w:bottom w:w="100" w:type="dxa"/>
        <w:right w:w="100" w:type="dxa"/>
      </w:tblCellMar>
    </w:tblPr>
    <w:trPr/>
    <w:tcPr/>
  </w:style>
  <w:style w:type="numbering" w:styleId="N0">
    <w:name w:val="No List"/>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Пилипенко Наталія Миколаївна</dc:creator>
  <dcterms:created xsi:type="dcterms:W3CDTF">2020-03-06T08:53:00Z</dcterms:created>
  <cp:lastModifiedBy>IIS APPPOOL\askod-ode</cp:lastModifiedBy>
  <dcterms:modified xsi:type="dcterms:W3CDTF">2020-07-03T09:12:20Z</dcterms:modified>
  <cp:revision>3</cp:revision>
</cp:coreProperties>
</file>