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істотні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обладнання, передбаченого Умовами закупівлі медичних послуг, які надаються згідно з цим додатком (пункт 8.1 цього додатку), надавач, зобов’язується протягом шести місяців із дати початку строку дії Договору, забезпечити наявність та введення в експлуатацію такого обладнання.</w:t>
      </w:r>
    </w:p>
    <w:p w:rsidR="00000000" w:rsidDel="00000000" w:rsidP="00000000" w:rsidRDefault="00000000" w:rsidRPr="00000000" w14:paraId="00000056">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Звітним періодом є один календарний місяць.</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D">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ind w:left="120" w:firstLine="0"/>
              <w:rPr>
                <w:highlight w:val="white"/>
              </w:rPr>
            </w:pPr>
            <w:r w:rsidDel="00000000" w:rsidR="00000000" w:rsidRPr="00000000">
              <w:rPr>
                <w:rtl w:val="0"/>
              </w:rPr>
            </w:r>
          </w:p>
        </w:tc>
      </w:tr>
    </w:tbl>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C1">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Надавач зобов’язується:</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Тарифи та коригувальні коефіцієнти визначаються відповідно до законодавства.</w:t>
      </w:r>
    </w:p>
    <w:p w:rsidR="00000000" w:rsidDel="00000000" w:rsidP="00000000" w:rsidRDefault="00000000" w:rsidRPr="00000000" w14:paraId="000000C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Інші умови</w:t>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8.1 – Умови закупівлі медичних послуг, які надаються згідно з цим додатком</w:t>
      </w:r>
    </w:p>
    <w:p w:rsidR="00000000" w:rsidDel="00000000" w:rsidP="00000000" w:rsidRDefault="00000000" w:rsidRPr="00000000" w14:paraId="000000C8">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8.2 – Специфікація медичних послуг, які надаються згідно з цим додатком</w:t>
      </w:r>
    </w:p>
    <w:p w:rsidR="00000000" w:rsidDel="00000000" w:rsidP="00000000" w:rsidRDefault="00000000" w:rsidRPr="00000000" w14:paraId="000000CA">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p>
    <w:p w:rsidR="00000000" w:rsidDel="00000000" w:rsidP="00000000" w:rsidRDefault="00000000" w:rsidRPr="00000000" w14:paraId="000000CC">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000000" w:rsidDel="00000000" w:rsidP="00000000" w:rsidRDefault="00000000" w:rsidRPr="00000000" w14:paraId="000000CD">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E">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F">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D0">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