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AED7D68" Type="http://schemas.openxmlformats.org/officeDocument/2006/relationships/officeDocument" Target="/word/document.xml" /><Relationship Id="coreRAED7D6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2020-03-10T13:11:00Z</dcterms:created>
  <cp:lastModifiedBy>IIS APPPOOL\askod-ode</cp:lastModifiedBy>
  <dcterms:modified xsi:type="dcterms:W3CDTF">2020-07-03T09:05:51Z</dcterms:modified>
  <cp:revision>3</cp:revision>
</cp:coreProperties>
</file>